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2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FootnoteReference"/>
        </w:rPr>
        <w:footnoteReference w:id="12914"/>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(cf.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2:2</w:t>
      </w:r>
    </w:p>
    <w:p>
      <w:pPr>
        <w:pStyle w:val="rNormal"/>
        <w:widowControl w:val="on"/>
        <w:spacing w:before="240" w:after="240" w:line="240" w:lineRule="auto"/>
        <w:ind w:left="0" w:right="0" w:firstLine="1"/>
        <w:jc w:val="left"/>
      </w:pPr>
      <w:r>
        <w:rPr>
          <w:b/>
          <w:bCs/>
        </w:rPr>
        <w:t xml:space="preserve">“magicians, and the enchanters, and the sorcerers, and the Chaldeans.”</w:t>
      </w:r>
      <w:r>
        <w:rPr/>
        <w:t xml:space="preserve"> These different groups shared some things in common but also had some different practices, and apparently Nebuchadnezzar thought that one of those groups could certainly tell him his dream and its interpretation. Daniel and his companions would not have been called to this important occasion because they would have been considered neophytes in their craft.</w:t>
      </w:r>
    </w:p>
    <w:p>
      <w:pPr>
        <w:pStyle w:val="rNormal"/>
        <w:widowControl w:val="on"/>
        <w:spacing w:before="240" w:after="240" w:line="240" w:lineRule="auto"/>
        <w:ind w:left="0" w:right="0" w:firstLine="1"/>
        <w:jc w:val="left"/>
      </w:pPr>
      <w:r>
        <w:rPr>
          <w:b/>
          <w:bCs/>
        </w:rPr>
        <w:t xml:space="preserve">“Chaldeans.”</w:t>
      </w:r>
      <w:r>
        <w:rPr/>
        <w:t xml:space="preserve"> The Chaldeans were usually associated with astronomers/astrologers, but they also were a people group that originally started in northern Mesopotamia but eventually migrated into southern Mesopotamia near the Persian Gulf. They were quite powerful during the time of Nebuchadnezzar’s father, and helped in the conquest of the Assyrians, thus gaining notoriety and political power in the kingdom.</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2:4</w:t>
      </w:r>
    </w:p>
    <w:p>
      <w:pPr>
        <w:pStyle w:val="rNormal"/>
        <w:widowControl w:val="on"/>
        <w:spacing w:before="240" w:after="240" w:line="240" w:lineRule="auto"/>
        <w:ind w:left="0" w:right="0" w:firstLine="1"/>
        <w:jc w:val="left"/>
      </w:pPr>
      <w:r>
        <w:rPr>
          <w:b/>
          <w:bCs/>
        </w:rPr>
        <w:t xml:space="preserve">“O king, live forever.”</w:t>
      </w:r>
      <w:r>
        <w:rPr/>
        <w:t xml:space="preserve"> This was a common and cultural blessing, much like the English, “Long live the king!”</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FootnoteReference"/>
        </w:rPr>
        <w:footnoteReference w:id="24084"/>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2:8</w:t>
      </w:r>
    </w:p>
    <w:p>
      <w:pPr>
        <w:pStyle w:val="rNormal"/>
        <w:widowControl w:val="on"/>
        <w:spacing w:before="240" w:after="240" w:line="240" w:lineRule="auto"/>
        <w:ind w:left="0" w:right="0" w:firstLine="1"/>
        <w:jc w:val="left"/>
      </w:pPr>
      <w:r>
        <w:rPr>
          <w:b/>
          <w:bCs/>
        </w:rPr>
        <w:t xml:space="preserve">“buying time.”</w:t>
      </w:r>
      <w:r>
        <w:rPr/>
        <w:t xml:space="preserve"> This is the literal Aramaic reading. Nebuchadnezzar knew they were buying time and hoping that he would change his mind and tell them the dream.</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give the wise men an idea as to what the dream consisted of or else make the wise men very valuable and he might relent on his threat.</w:t>
      </w:r>
    </w:p>
    <w:p>
      <w:pPr>
        <w:pStyle w:val="rVersHead"/>
        <w:widowControl w:val="on"/>
      </w:pPr>
      <w:r>
        <w:rPr/>
        <w:t xml:space="preserve">Dan 2:10</w:t>
      </w:r>
    </w:p>
    <w:p>
      <w:pPr>
        <w:pStyle w:val="rNormal"/>
        <w:widowControl w:val="on"/>
        <w:spacing w:before="240" w:after="240" w:line="240" w:lineRule="auto"/>
        <w:ind w:left="0" w:right="0" w:firstLine="1"/>
        <w:jc w:val="left"/>
      </w:pPr>
      <w:r>
        <w:rPr>
          <w:b/>
          <w:bCs/>
        </w:rPr>
        <w:t xml:space="preserve">“demand.”</w:t>
      </w:r>
      <w:r>
        <w:rPr/>
        <w:t xml:space="preserve"> The Aramaic can be more literally translated as “word.”</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of Israel, the one and only true God.</w:t>
      </w:r>
    </w:p>
    <w:p>
      <w:pPr>
        <w:pStyle w:val="rNormal"/>
        <w:widowControl w:val="on"/>
        <w:spacing w:before="240" w:after="240" w:line="240" w:lineRule="auto"/>
        <w:ind w:left="0" w:right="0"/>
        <w:jc w:val="left"/>
      </w:pPr>
      <w:r>
        <w:rPr/>
        <w:t xml:space="preserve">The wise men were generally in touch with demons, which is where they regularly got their information. But demons do not have access to the private thoughts of an individual, especially an individual with a sound and sane mind. In contrast, a demon who is “possessing” a person by being inside them can often give that person thoughts or pictures or make them hear sounds or voices. So whereas the demons could show the wise men many things and provide guidance to Nebuchadnezzar, they could not access Nebuchadnezzar’s dream and thus could not inform the wise men about it. There is a measure of comfort in knowing that demons cannot “read your mind.” However, they are very astute and good observers and listeners, so if you give your thoughts away by what you say or express, the demons can access that information.</w:t>
      </w:r>
    </w:p>
    <w:p>
      <w:pPr>
        <w:pStyle w:val="rNormal"/>
        <w:widowControl w:val="on"/>
        <w:spacing w:before="240" w:after="240" w:line="240" w:lineRule="auto"/>
        <w:ind w:left="0" w:right="0" w:firstLine="1"/>
        <w:jc w:val="left"/>
      </w:pPr>
      <w:r>
        <w:rPr>
          <w:b/>
          <w:bCs/>
        </w:rPr>
        <w:t xml:space="preserve">“is not with flesh.”</w:t>
      </w:r>
      <w:r>
        <w:rPr/>
        <w:t xml:space="preserve"> That is, the gods, who do not dwell with people; they do not live in the earthly realm.</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FootnoteReference"/>
        </w:rPr>
        <w:footnoteReference w:id="23281"/>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Dan 2:13</w:t>
      </w:r>
    </w:p>
    <w:p>
      <w:pPr>
        <w:pStyle w:val="rNormal"/>
        <w:widowControl w:val="on"/>
        <w:spacing w:before="240" w:after="240" w:line="240" w:lineRule="auto"/>
        <w:ind w:left="0" w:right="0" w:firstLine="1"/>
        <w:jc w:val="left"/>
      </w:pPr>
      <w:r>
        <w:rPr>
          <w:b/>
          <w:bCs/>
        </w:rPr>
        <w:t xml:space="preserve">“and they searched for Daniel.”</w:t>
      </w:r>
      <w:r>
        <w:rPr/>
        <w:t xml:space="preserve"> Because Daniel was an advisor in training, he apparently did not have a permanent station where he could be found, so the guards had to search for him.</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that the death sentence be reduced if it was warranted, but rather that the speed of executing the decree be modified and that he be given some time to seek God.</w:t>
      </w:r>
    </w:p>
    <w:p>
      <w:pPr>
        <w:pStyle w:val="rVersHead"/>
        <w:widowControl w:val="on"/>
      </w:pPr>
      <w:r>
        <w:rPr/>
        <w:t xml:space="preserve">Dan 2:16</w:t>
      </w:r>
    </w:p>
    <w:p>
      <w:pPr>
        <w:pStyle w:val="rNormal"/>
        <w:widowControl w:val="on"/>
        <w:spacing w:before="240" w:after="240" w:line="240" w:lineRule="auto"/>
        <w:ind w:left="0" w:right="0" w:firstLine="1"/>
        <w:jc w:val="left"/>
      </w:pPr>
      <w:r>
        <w:rPr>
          <w:b/>
          <w:bCs/>
        </w:rPr>
        <w:t xml:space="preserve">“so that he could show the king the interpretation.”</w:t>
      </w:r>
      <w:r>
        <w:rPr/>
        <w:t xml:space="preserve"> Unlike the magicians, who wanted Nebuchadnezzar to tell them the dream, Daniel simply asked for time so that he could give Nebuchadnezzar the interpretation. This must have seemed reasonable to Nebuchadnezzar, who granted Daniel’s request.</w:t>
      </w:r>
    </w:p>
    <w:p>
      <w:pPr>
        <w:pStyle w:val="rVersHead"/>
        <w:widowControl w:val="on"/>
      </w:pPr>
      <w:r>
        <w:rPr/>
        <w:t xml:space="preserve">Dan 2:22</w:t>
      </w:r>
    </w:p>
    <w:p>
      <w:pPr>
        <w:pStyle w:val="rNormal"/>
        <w:widowControl w:val="on"/>
        <w:spacing w:before="240" w:after="240" w:line="240" w:lineRule="auto"/>
        <w:ind w:left="0" w:right="0" w:firstLine="1"/>
        <w:jc w:val="left"/>
      </w:pPr>
      <w:r>
        <w:rPr>
          <w:b/>
          <w:bCs/>
        </w:rPr>
        <w:t xml:space="preserve">“he knows what is in the darkness, and the light dwells with him.”</w:t>
      </w:r>
      <w:r>
        <w:rPr/>
        <w:t xml:space="preserve"> In this context, the “darkness” and the “light” are more than literal; they are metaphorical. God knows what is in the darkness, that is, He knows the things that are dark, hidden, and secret, and also illumination and understanding, “the light” is with Him as well.</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“As you looked a stone was cut out, but not by </w:t>
      </w:r>
      <w:r>
        <w:rPr>
          <w:b/>
          <w:bCs/>
          <w:i/>
          <w:iCs/>
        </w:rPr>
        <w:t xml:space="preserve">human</w:t>
      </w:r>
      <w:r>
        <w:rPr>
          <w:b/>
          <w:bCs/>
        </w:rPr>
        <w:t xml:space="preserve"> hands.”</w:t>
      </w:r>
      <w:r>
        <w:rPr/>
        <w:t xml:space="preserve"> This “stone” is the Messiah, Jesus Christ. We know this from Daniel 2:34-35, 44-45; 7:13-14; as well as from other prophecies in the Bible, including the prophecies in the Book of Revelation, and also from the life of Christ as it is described in the Gospels. One very interesting and important fact to pay attention to in these prophecies in Daniel is that they only portray one coming of Christ—his coming as a conquering king. They do not portray his coming as a servant of God to die for the sins of humankind. It is due to this kind of truncated prophetic picture of the Messiah that Peter believed that Christ would never die (Matt. 16:21-22).</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FootnoteReference"/>
        </w:rPr>
        <w:footnoteReference w:id="30813"/>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“so that not a trace of them could be found.”</w:t>
      </w:r>
      <w:r>
        <w:rPr/>
        <w:t xml:space="preserve"> The destruction of the Tribulation and Armageddon, and the cleansing that will occur in the unique Day of Yahweh (Zech. 14:6-7), will be so complete that not a trace of the ungodly kingdoms of the earth along with their ungodly practices and their pagan gods will be found (cf. Hos. 2:16-17; Micah 5:12-14; Zeph. 1:4). Christ’s godly kingdom will fill the earth.</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2:39</w:t>
      </w:r>
    </w:p>
    <w:p>
      <w:pPr>
        <w:pStyle w:val="rNormal"/>
        <w:widowControl w:val="on"/>
        <w:spacing w:before="240" w:after="240" w:line="240" w:lineRule="auto"/>
        <w:ind w:left="0" w:right="0" w:firstLine="1"/>
        <w:jc w:val="left"/>
      </w:pPr>
      <w:r>
        <w:rPr>
          <w:b/>
          <w:bCs/>
        </w:rPr>
        <w:t xml:space="preserve">“After you will arise another kingdom inferior to you.”</w:t>
      </w:r>
      <w:r>
        <w:rPr/>
        <w:t xml:space="preserve"> Very little is said in Daniel 2 about the second and third kingdoms, but more is said in later chapters in Daniel. Daniel 5:28 tells us that after the Babylonian kingdom came the kingdom of Persia (or the Medo-Persian Empire). This is confirmed again in Daniel 8:2-21, when the second and third empires are said to be the Medo-Persian Empire and the empire of Greece. Then this conclusion is stated briefly in Daniel 11:2.</w:t>
      </w:r>
    </w:p>
    <w:p>
      <w:pPr>
        <w:pStyle w:val="rNormal"/>
        <w:widowControl w:val="on"/>
        <w:spacing w:before="240" w:after="240" w:line="240" w:lineRule="auto"/>
        <w:ind w:left="0" w:right="0"/>
        <w:jc w:val="left"/>
      </w:pPr>
      <w:r>
        <w:rPr/>
        <w:t xml:space="preserve">The Medo-Persian empire and the Greek empire were inferior to the Babylonian empire in many ways. Not in size, for the Medo-Persian empire was larger than the Babylonian empire, and the Greek empire was larger than the Medo-Persian empire. But in Nebuchadnezzar’s image, the metals went from more valuable to less valuable as the metals went from gold at the top to iron and clay at the bottom. John Walvoord writes, “History certainly confirms that the Medo-Persian Empire and the empire of Alexander that followed, lacked the central authority and fine organization of the Babylonian Empire.”</w:t>
      </w:r>
      <w:r>
        <w:rPr>
          <w:rStyle w:val="FootnoteReference"/>
        </w:rPr>
        <w:footnoteReference w:id="11887"/>
      </w:r>
    </w:p>
    <w:p>
      <w:pPr>
        <w:pStyle w:val="rNormal"/>
        <w:widowControl w:val="on"/>
        <w:spacing w:before="240" w:after="240" w:line="240" w:lineRule="auto"/>
        <w:ind w:left="0" w:right="0" w:firstLine="1"/>
        <w:jc w:val="left"/>
      </w:pPr>
      <w:r>
        <w:rPr>
          <w:b/>
          <w:bCs/>
        </w:rPr>
        <w:t xml:space="preserve">“third kingdom of bronze that will rule over all the earth.”</w:t>
      </w:r>
      <w:r>
        <w:rPr/>
        <w:t xml:space="preserve"> The third kingdom, as we just saw above, was Greece. In a sense, and with a little hyperbole, it ruled “over all the earth.” Alexander’s empire extended east all the way to India and south down into Egypt. As far as people listening to Daniel speak, including Nebuchadnezzar and those with him, a nation that large did rule over all the earth.</w:t>
      </w:r>
    </w:p>
    <w:p>
      <w:pPr>
        <w:pStyle w:val="rNormal"/>
        <w:widowControl w:val="on"/>
        <w:spacing w:before="240" w:after="240" w:line="240" w:lineRule="auto"/>
        <w:ind w:left="0" w:right="0"/>
        <w:jc w:val="left"/>
      </w:pPr>
      <w:r>
        <w:rPr/>
        <w:t xml:space="preserve">Gold, silver, bronze, iron with clay—as time goes on, the kingdoms of the world become more and more inferior in different ways. Thus, in the Word of God we see another proof that true macro-evolution does not occur. People, animals, and plants do not get better and stronger, they become weaker and more susceptible to disease and aging. Things on earth, including humans, were the best they could be when God originally made them in the Garden of Eden. But after Adam's sin and the Fall, humans, plants, and animals are all on a downhill journey. The world is now reduced to “slavery to corruption” (Rom. 8:21), something that will only be rectified when Christ conquers the earth and sets up his kingdom on it.</w:t>
      </w:r>
    </w:p>
    <w:p>
      <w:pPr>
        <w:pStyle w:val="rVersHead"/>
        <w:widowControl w:val="on"/>
      </w:pPr>
      <w:r>
        <w:rPr/>
        <w:t xml:space="preserve">Dan 2:40</w:t>
      </w:r>
    </w:p>
    <w:p>
      <w:pPr>
        <w:pStyle w:val="rNormal"/>
        <w:widowControl w:val="on"/>
        <w:spacing w:before="240" w:after="240" w:line="240" w:lineRule="auto"/>
        <w:ind w:left="0" w:right="0" w:firstLine="1"/>
        <w:jc w:val="left"/>
      </w:pPr>
      <w:r>
        <w:rPr>
          <w:b/>
          <w:bCs/>
        </w:rPr>
        <w:t xml:space="preserve">“The fourth kingdom.”</w:t>
      </w:r>
      <w:r>
        <w:rPr/>
        <w:t xml:space="preserve"> More is written in Daniel about this fourth kingdom than all the other kingdoms put together.</w:t>
      </w:r>
    </w:p>
    <w:p>
      <w:pPr>
        <w:pStyle w:val="rNormal"/>
        <w:widowControl w:val="on"/>
        <w:spacing w:before="240" w:after="240" w:line="240" w:lineRule="auto"/>
        <w:ind w:left="0" w:right="0" w:firstLine="1"/>
        <w:jc w:val="left"/>
      </w:pPr>
      <w:r>
        <w:rPr>
          <w:b/>
          <w:bCs/>
        </w:rPr>
        <w:t xml:space="preserve">“it will break in pieces and crush all these.”</w:t>
      </w:r>
      <w:r>
        <w:rPr/>
        <w:t xml:space="preserve"> Although many conservative Christians believe this fourth kingdom is Rome, this kind of description is a reason why the fourth kingdom cannot be Rome. Rome, more than any kingdom before it, took in and adopted much from the nations it conquered, for example, language, art, architecture, mythology, and sports. That kind of syncretization will not be part of the character of the fourth kingdom. That kingdom will be different from the kingdoms before it and will smash them (see commentary on Dan. 2:34). Daniel 7:23 describes the fourth kingdom: “‘The fourth beast will be a fourth kingdom on earth that will be different from all the other kingdoms, and will devour the whole earth, and will trample it down and crush it.”</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2:44</w:t>
      </w:r>
    </w:p>
    <w:p>
      <w:pPr>
        <w:pStyle w:val="rNormal"/>
        <w:widowControl w:val="on"/>
        <w:spacing w:before="240" w:after="240" w:line="240" w:lineRule="auto"/>
        <w:ind w:left="0" w:right="0" w:firstLine="1"/>
        <w:jc w:val="left"/>
      </w:pPr>
      <w:r>
        <w:rPr>
          <w:b/>
          <w:bCs/>
        </w:rPr>
        <w:t xml:space="preserve">“it will stand forever.”</w:t>
      </w:r>
      <w:r>
        <w:rPr/>
        <w:t xml:space="preserve"> This can also be understood as “it will stand to the age (or to a remote time).” The Aramaic word does not have to mean “forever,” although “forever” applies here as long as it is understood that “forever” would include both the Millennial Kingdom and the Everlasting Kingdom.</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Word Study: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Word Study: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FootnoteReference"/>
        </w:rPr>
        <w:footnoteReference w:id="17523"/>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FootnoteReference"/>
        </w:rPr>
        <w:footnoteReference w:id="10502"/>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In this context, the term “great sea” is the figure of speech hypocatastasis and represents many nations—the Gentile masses—and this is clarified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the “great sea” referring to the Gentile masses, see commentary on Rev. 17:15, “Peoples, and multitudes, and nations.” For more information on the figure of speech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that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are shown again in Daniel 7:26: “But the court will sit, and his [the Antichrist's]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FootnoteReference"/>
        </w:rPr>
        <w:footnoteReference w:id="30375"/>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FootnoteReference"/>
        </w:rPr>
        <w:footnoteReference w:id="30846"/>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said to him, ‘Are you the Christ, the Son of the Blessed One?’ And Jesus said, ‘I am, and you will see the Son of Man sitting at the right hand of the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FootnoteReference"/>
        </w:rPr>
        <w:footnoteReference w:id="19043"/>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Word Study: “Pneuma.”]</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“high holy ones.”</w:t>
      </w:r>
      <w:r>
        <w:rPr/>
        <w:t xml:space="preserve"> Here in Daniel 7:18 is a phrase that is usually translated in English Bibles as “holy ones of the Most High,” but there is good evidence that the text does not mean that and should not be translated that way. The phrase occurs only four times in the Bible, and all four times are in Daniel 7 (Dan. 7:18, 22, 25, 27). If the phrase stands as it is usually translated, “the holy ones of the Most High,” the “holy ones” are the believers and the “Most High” is God, but that is not the way the text reads in Daniel. The phrase refers to the “holy ones,” sometimes translated as “saints” (e.g., ASV, BBE, ESV, KJV, NASB, RSV), and a good translation would be “the high holy ones.”</w:t>
      </w:r>
    </w:p>
    <w:p>
      <w:pPr>
        <w:pStyle w:val="rNormal"/>
        <w:widowControl w:val="on"/>
        <w:spacing w:before="240" w:after="240" w:line="240" w:lineRule="auto"/>
        <w:ind w:left="0" w:right="0"/>
        <w:jc w:val="left"/>
      </w:pPr>
      <w:r>
        <w:rPr/>
        <w:t xml:space="preserve">Daniel 7 was written in Aramaic, not Hebrew, and the Aramaic root word that in most English Bibles is translated by the phrase “Most High” is </w:t>
      </w:r>
      <w:r>
        <w:rPr>
          <w:i/>
          <w:iCs/>
        </w:rPr>
        <w:t xml:space="preserve">ʿelyon</w:t>
      </w:r>
      <w:r>
        <w:rPr/>
        <w:t xml:space="preserve"> (#05946 עֶלְיוֹן, the form in the text is עֶלְיוֹנִ֑ין an adjective). But four times in Daniel chapter 7, the word </w:t>
      </w:r>
      <w:r>
        <w:rPr>
          <w:i/>
          <w:iCs/>
        </w:rPr>
        <w:t xml:space="preserve">ʿelyon</w:t>
      </w:r>
      <w:r>
        <w:rPr/>
        <w:t xml:space="preserve"> is plural. Everywhere else in the Old Testament, even sometimes in Daniel 7, “Most High” is singular, referring to God. For example, Daniel 7:25 (Common English Bible) reads, “He will say things against the Most High and will exhaust the holy ones of the Most High.” Just reading that translation makes it seem like twice in the verse, “the Most High” refers to God. But in the Aramaic text, the first use of “Most High” (</w:t>
      </w:r>
      <w:r>
        <w:rPr>
          <w:i/>
          <w:iCs/>
        </w:rPr>
        <w:t xml:space="preserve">elyon</w:t>
      </w:r>
      <w:r>
        <w:rPr/>
        <w:t xml:space="preserve">) is singular, while the second is plural. Furthermore, the phrase is not a genitive phrase in Aramaic, even though most English Bibles translate it that way. Instead, it is a noun construct phrase, which allows </w:t>
      </w:r>
      <w:r>
        <w:rPr>
          <w:i/>
          <w:iCs/>
        </w:rPr>
        <w:t xml:space="preserve">elyon</w:t>
      </w:r>
      <w:r>
        <w:rPr/>
        <w:t xml:space="preserve"> to be used as an adjective referring to the antecedent noun, which in this case is the “holy ones,” the believers. Thus, the plural Aramaic word that is translated as “Most High” in most English Bibles should be translated as an adjective modifying “holy ones” (“saints”), so, for example, the REV has, “the high holy ones.”</w:t>
      </w:r>
    </w:p>
    <w:p>
      <w:pPr>
        <w:pStyle w:val="rNormal"/>
        <w:widowControl w:val="on"/>
        <w:spacing w:before="240" w:after="240" w:line="240" w:lineRule="auto"/>
        <w:ind w:left="0" w:right="0"/>
        <w:jc w:val="left"/>
      </w:pPr>
      <w:r>
        <w:rPr/>
        <w:t xml:space="preserve">There are a few English Bibles that notice that </w:t>
      </w:r>
      <w:r>
        <w:rPr>
          <w:i/>
          <w:iCs/>
        </w:rPr>
        <w:t xml:space="preserve">elyon</w:t>
      </w:r>
      <w:r>
        <w:rPr/>
        <w:t xml:space="preserve"> is plural, and thus does not refer to God, and the best way to see that is by reading Daniel 7:25, because that verse has elyon both in the singular referring to God and the plural referring to God’s people. For example, the NIV2011 translates the first part of Daniel 7:25 as, “He will speak against the Most High and oppress his holy people and try to change the set times and the laws.” Thus, instead of having “Most High” refer to God twice in the verse, the NIV translators recognize that </w:t>
      </w:r>
      <w:r>
        <w:rPr>
          <w:i/>
          <w:iCs/>
        </w:rPr>
        <w:t xml:space="preserve">elyon</w:t>
      </w:r>
      <w:r>
        <w:rPr/>
        <w:t xml:space="preserve"> in the plural refers to the people, and so they translate the phrase as “holy people.” The Complete Jewish Bible with commentary by Rabbi Shlomo Yitzchaki (c. 1040-1105) more commonly known as simply “Rashi,” translates the verse: “And he will speak words against the Most High, and he will oppress the high holy ones….”</w:t>
      </w:r>
      <w:r>
        <w:rPr>
          <w:rStyle w:val="FootnoteReference"/>
        </w:rPr>
        <w:footnoteReference w:id="28648"/>
      </w:r>
      <w:r>
        <w:rPr/>
        <w:t xml:space="preserve"> John Goldingay, in his translation of the Old Testament, </w:t>
      </w:r>
      <w:r>
        <w:rPr>
          <w:i/>
          <w:iCs/>
        </w:rPr>
        <w:t xml:space="preserve">The First Testament</w:t>
      </w:r>
      <w:r>
        <w:rPr/>
        <w:t xml:space="preserve">, translates Daniel 7:25 as “he will say things against the One on High and oppress the sacred ones on high.” The Artscroll English Tanach, Stone Edition, has, “he will speak words against the Supreme One, and he will exhaust the holy supreme ones….” All of those versions recognize that </w:t>
      </w:r>
      <w:r>
        <w:rPr>
          <w:i/>
          <w:iCs/>
        </w:rPr>
        <w:t xml:space="preserve">elyon</w:t>
      </w:r>
      <w:r>
        <w:rPr/>
        <w:t xml:space="preserve"> in the plural does not refer to God, but to the people of God, and those versions do that for all four uses of </w:t>
      </w:r>
      <w:r>
        <w:rPr>
          <w:i/>
          <w:iCs/>
        </w:rPr>
        <w:t xml:space="preserve">elyon</w:t>
      </w:r>
      <w:r>
        <w:rPr/>
        <w:t xml:space="preserve"> in the plural in Daniel 7.</w:t>
      </w:r>
    </w:p>
    <w:p>
      <w:pPr>
        <w:pStyle w:val="rNormal"/>
        <w:widowControl w:val="on"/>
        <w:spacing w:before="240" w:after="240" w:line="240" w:lineRule="auto"/>
        <w:ind w:left="0" w:right="0"/>
        <w:jc w:val="left"/>
      </w:pPr>
      <w:r>
        <w:rPr/>
        <w:t xml:space="preserve">The “high holy ones” are the people who obey God. The Bible never says why these believers in Daniel 7 are referred to as the “high holy ones.” Perhaps a good possibility is that Daniel 7 is referring to the time when the Antichrist rules the earth, and there will be a worldwide persecution of believers. During that time, it will be difficult to maintain a strong faith. It will be so difficult, in fact, that people who die while still believing are called “blessed:” “Blessed are the dead who die in the Lord from now on” (Rev. 14:13).</w:t>
      </w:r>
    </w:p>
    <w:p>
      <w:pPr>
        <w:pStyle w:val="rNormal"/>
        <w:widowControl w:val="on"/>
        <w:spacing w:before="240" w:after="240" w:line="240" w:lineRule="auto"/>
        <w:ind w:left="0" w:right="0"/>
        <w:jc w:val="left"/>
      </w:pPr>
      <w:r>
        <w:rPr/>
        <w:t xml:space="preserve">A more traditional rendering of the “holy ones” is “saints” (cf. Geneva Bible; King James Version) but “holy ones” is a more literal and accurate rendition of the text, and this is especially true given the popular idea of what “saint” means as influenced by the Roman Catholic Church, the Episcopal Church, and some other denominations. Biblically, “saints,” the “holy ones,” are all the people who obey God and are saved. Biblically, a “holy one,” a “saint” is not a special believer, but just a believer. Also, both angels and God’s holy people are called “holy ones,” which makes sense because they are both holy before God. The reader must be sensitive to the context of any given verse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Rome, more than any kingdom before it, took in and adopted much from the nations it conquered. For example: language, art, architecture, mythology, and sports. That kind of syncretization will not be part of the character of the fourth kingdom.</w:t>
      </w:r>
    </w:p>
    <w:p>
      <w:pPr>
        <w:pStyle w:val="rNormal"/>
        <w:widowControl w:val="on"/>
        <w:spacing w:before="240" w:after="240" w:line="240" w:lineRule="auto"/>
        <w:ind w:left="0" w:right="0"/>
        <w:jc w:val="left"/>
      </w:pPr>
      <w:r>
        <w:rPr/>
        <w:t xml:space="preserve">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(AD 64 to AD 312).</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holy ones will be given into his hand.”</w:t>
      </w:r>
      <w:r>
        <w:rPr/>
        <w:t xml:space="preserve"> The text simply says “And they will be given into his hand,” but the pronoun “they” was altered to “the holy ones” or clarity in English. The holy ones, the believers,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“high holy ones.”</w:t>
      </w:r>
      <w:r>
        <w:rPr/>
        <w:t xml:space="preserve"> The believers (for more on the REV translation, see commentary on Dan. 7:18)</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FootnoteReference"/>
        </w:rPr>
        <w:footnoteReference w:id="17666"/>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and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FootnoteReference"/>
        </w:rPr>
        <w:footnoteReference w:id="20868"/>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FootnoteReference"/>
        </w:rPr>
        <w:footnoteReference w:id="25513"/>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FootnoteReference"/>
        </w:rPr>
        <w:footnoteReference w:id="20700"/>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FootnoteReference"/>
        </w:rPr>
        <w:footnoteReference w:id="12713"/>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FootnoteReference"/>
        </w:rPr>
        <w:footnoteReference w:id="30491"/>
      </w:r>
      <w:r>
        <w:rPr/>
        <w:t xml:space="preserve"> “Nothing could be clearer than that this verse [Dan. 11:1] still belongs to what was just considered [in Dan. 10].</w:t>
      </w:r>
      <w:r>
        <w:rPr>
          <w:rStyle w:val="FootnoteReference"/>
        </w:rPr>
        <w:footnoteReference w:id="25684"/>
      </w:r>
      <w:r>
        <w:rPr/>
        <w:t xml:space="preserve"> “…it is clear that it [Dan. 11:1] should be considered with the statement in 10:21 concerning the reciprocal aid between Michael and the interpreting angel.”</w:t>
      </w:r>
      <w:r>
        <w:rPr>
          <w:rStyle w:val="FootnoteReference"/>
        </w:rPr>
        <w:footnoteReference w:id="30639"/>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of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started: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FootnoteReference"/>
        </w:rPr>
        <w:footnoteReference w:id="25222"/>
      </w:r>
      <w:r>
        <w:rPr/>
        <w:t xml:space="preserve"> To the translators of the REV,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realizes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FootnoteReference"/>
        </w:rPr>
        <w:footnoteReference w:id="21111"/>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FootnoteReference"/>
        </w:rPr>
        <w:footnoteReference w:id="20481"/>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FootnoteReference"/>
        </w:rPr>
        <w:footnoteReference w:id="15158"/>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FootnoteReference"/>
        </w:rPr>
        <w:footnoteReference w:id="29661"/>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FootnoteReference"/>
        </w:rPr>
        <w:footnoteReference w:id="22559"/>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FootnoteReference"/>
        </w:rPr>
        <w:footnoteReference w:id="20242"/>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477068680f454f1a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165834"/>
      <w:docPartObj>
        <w:docPartGallery w:val="Page Numbers (Bottom of Page)"/>
        <w:docPartUnique/>
      </w:docPartObj>
    </w:sdtPr>
    <w:sdtContent>
      <w:sdt>
        <w:sdtPr>
          <w:id w:val="6644060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914">
    <w:p>
      <w:pPr>
        <w:pStyle w:val="FootnoteText"/>
      </w:pPr>
      <w:r>
        <w:rPr>
          <w:rStyle w:val="FootnoteReference"/>
        </w:rPr>
        <w:footnoteRef/>
      </w:r>
      <w:r>
        <w:t xml:space="preserve">
          <w:r>
            <w:t xml:space="preserve">
              <w:r>
                <w:t xml:space="preserve"> Cf. Edwin Thiele, </w:t>
              </w:r>
              <w:r>
                <w:rPr>
                  <w:i/>
                </w:rPr>
                <w:t xml:space="preserve">The Mysterious Numbers of the Hebrew Kings</w:t>
              </w:r>
              <w:r>
                <w:t xml:space="preserve">, 183.</w:t>
              </w:r>
            </w:t>
          </w:r>
        </w:t>
      </w:r>
    </w:p>
  </w:footnote>
  <w:footnote w:id="24084">
    <w:p>
      <w:pPr>
        <w:pStyle w:val="FootnoteText"/>
      </w:pPr>
      <w:r>
        <w:rPr>
          <w:rStyle w:val="FootnoteReference"/>
        </w:rPr>
        <w:footnoteRef/>
      </w:r>
      <w:r>
        <w:t xml:space="preserve">
          <w:r>
            <w:t xml:space="preserve">
              <w:r>
                <w:t xml:space="preserve"> John Collins, </w:t>
              </w:r>
              <w:r>
                <w:rPr>
                  <w:i/>
                </w:rPr>
                <w:t xml:space="preserve">Daniel</w:t>
              </w:r>
              <w:r>
                <w:t xml:space="preserve">, Hermeneia.</w:t>
              </w:r>
            </w:t>
          </w:r>
        </w:t>
      </w:r>
    </w:p>
  </w:footnote>
  <w:footnote w:id="23281">
    <w:p>
      <w:pPr>
        <w:pStyle w:val="FootnoteText"/>
      </w:pPr>
      <w:r>
        <w:rPr>
          <w:rStyle w:val="FootnoteReference"/>
        </w:rPr>
        <w:footnoteRef/>
      </w:r>
      <w:r>
        <w:t xml:space="preserve">
          <w:r>
            <w:t xml:space="preserve">
              <w:r>
                <w:t xml:space="preserve"> John Collins, </w:t>
              </w:r>
              <w:r>
                <w:rPr>
                  <w:i/>
                </w:rPr>
                <w:t xml:space="preserve">Daniel</w:t>
              </w:r>
              <w:r>
                <w:t xml:space="preserve">, Hermeneia, 149.</w:t>
              </w:r>
            </w:t>
          </w:r>
        </w:t>
      </w:r>
    </w:p>
  </w:footnote>
  <w:footnote w:id="30813">
    <w:p>
      <w:pPr>
        <w:pStyle w:val="FootnoteText"/>
      </w:pPr>
      <w:r>
        <w:rPr>
          <w:rStyle w:val="FootnoteReference"/>
        </w:rPr>
        <w:footnoteRef/>
      </w:r>
      <w:r>
        <w:t xml:space="preserve">
          <w:r>
            <w:t xml:space="preserve">
              <w:r>
                <w:t xml:space="preserve"> David Garrison,</w:t>
              </w:r>
              <w:r>
                <w:rPr>
                  <w:i/>
                </w:rPr>
                <w:t xml:space="preserve"> A Wind in the House of Islam</w:t>
              </w:r>
              <w:r>
                <w:t xml:space="preserve">, 5.</w:t>
              </w:r>
            </w:t>
          </w:r>
        </w:t>
      </w:r>
    </w:p>
  </w:footnote>
  <w:footnote w:id="11887">
    <w:p>
      <w:pPr>
        <w:pStyle w:val="FootnoteText"/>
      </w:pPr>
      <w:r>
        <w:rPr>
          <w:rStyle w:val="FootnoteReference"/>
        </w:rPr>
        <w:footnoteRef/>
      </w:r>
      <w:r>
        <w:t xml:space="preserve">
          <w:r>
            <w:t xml:space="preserve">
              <w:r>
                <w:t xml:space="preserve"> John Walvoord, </w:t>
              </w:r>
              <w:r>
                <w:rPr>
                  <w:i/>
                </w:rPr>
                <w:t xml:space="preserve">The John Walvoord Prophecy Commentaries: Daniel</w:t>
              </w:r>
              <w:r>
                <w:t xml:space="preserve">, 80-81</w:t>
              </w:r>
            </w:t>
          </w:r>
        </w:t>
      </w:r>
    </w:p>
  </w:footnote>
  <w:footnote w:id="17523">
    <w:p>
      <w:pPr>
        <w:pStyle w:val="FootnoteText"/>
      </w:pPr>
      <w:r>
        <w:rPr>
          <w:rStyle w:val="FootnoteReference"/>
        </w:rPr>
        <w:footnoteRef/>
      </w:r>
      <w:r>
        <w:t xml:space="preserve">
          <w:r>
            <w:t xml:space="preserve">
              <w:r>
                <w:t xml:space="preserve"> Cf. Andrew Steinmann, </w:t>
              </w:r>
              <w:r>
                <w:rPr>
                  <w:i/>
                </w:rPr>
                <w:t xml:space="preserve">Daniel</w:t>
              </w:r>
              <w:r>
                <w:t xml:space="preserve"> [ConcC].</w:t>
              </w:r>
            </w:t>
          </w:r>
        </w:t>
      </w:r>
    </w:p>
  </w:footnote>
  <w:footnote w:id="10502">
    <w:p>
      <w:pPr>
        <w:pStyle w:val="FootnoteText"/>
      </w:pPr>
      <w:r>
        <w:rPr>
          <w:rStyle w:val="FootnoteReference"/>
        </w:rPr>
        <w:footnoteRef/>
      </w:r>
      <w:r>
        <w:t xml:space="preserve">
          <w:r>
            <w:t xml:space="preserve">
              <w:r>
                <w:t xml:space="preserve"> Merrill Unger, </w:t>
              </w:r>
              <w:r>
                <w:rPr>
                  <w:i/>
                </w:rPr>
                <w:t xml:space="preserve">Biblical Demonology</w:t>
              </w:r>
              <w:r>
                <w:t xml:space="preserve">, 181.</w:t>
              </w:r>
            </w:t>
          </w:r>
        </w:t>
      </w:r>
    </w:p>
  </w:footnote>
  <w:footnote w:id="30375">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Holladay, </w:t>
              </w:r>
              <w:r>
                <w:rPr>
                  <w:i/>
                </w:rPr>
                <w:t xml:space="preserve">Hebrew and Aramaic Lexicon</w:t>
              </w:r>
              <w:r>
                <w:t xml:space="preserve">.</w:t>
              </w:r>
            </w:t>
          </w:r>
        </w:t>
      </w:r>
    </w:p>
  </w:footnote>
  <w:footnote w:id="30846">
    <w:p>
      <w:pPr>
        <w:pStyle w:val="FootnoteText"/>
      </w:pPr>
      <w:r>
        <w:rPr>
          <w:rStyle w:val="FootnoteReference"/>
        </w:rPr>
        <w:footnoteRef/>
      </w:r>
      <w:r>
        <w:t xml:space="preserve">
          <w:r>
            <w:t xml:space="preserve">
              <w:r>
                <w:t xml:space="preserve"> John J. Collins, </w:t>
              </w:r>
              <w:r>
                <w:rPr>
                  <w:i/>
                </w:rPr>
                <w:t xml:space="preserve">Daniel</w:t>
              </w:r>
              <w:r>
                <w:t xml:space="preserve">, Hermeneia, 307-08.</w:t>
              </w:r>
            </w:t>
          </w:r>
        </w:t>
      </w:r>
    </w:p>
  </w:footnote>
  <w:footnote w:id="19043">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28648">
    <w:p>
      <w:pPr>
        <w:pStyle w:val="FootnoteText"/>
      </w:pPr>
      <w:r>
        <w:rPr>
          <w:rStyle w:val="FootnoteReference"/>
        </w:rPr>
        <w:footnoteRef/>
      </w:r>
      <w:r>
        <w:t xml:space="preserve">
          <w:r>
            <w:t xml:space="preserve">
              <w:r>
                <w:t xml:space="preserve"> </w:t>
              </w:r>
              <w:r>
                <w:rPr>
                  <w:i/>
                </w:rPr>
                <w:t xml:space="preserve">The Complete Jewish Bible with Rashi Commentary</w:t>
              </w:r>
              <w:r>
                <w:t xml:space="preserve">, accessed 5/23/2025 at website Chabad.org. https://www.chabad.org/library/bible_cdo/aid/16490/showrashi/true</w:t>
              </w:r>
            </w:t>
          </w:r>
        </w:t>
      </w:r>
    </w:p>
  </w:footnote>
  <w:footnote w:id="17666">
    <w:p>
      <w:pPr>
        <w:pStyle w:val="FootnoteText"/>
      </w:pPr>
      <w:r>
        <w:rPr>
          <w:rStyle w:val="FootnoteReference"/>
        </w:rPr>
        <w:footnoteRef/>
      </w:r>
      <w:r>
        <w:t xml:space="preserve">
          <w:r>
            <w:t xml:space="preserve">
              <w:r>
                <w:t xml:space="preserve"> Stephen Miller, </w:t>
              </w:r>
              <w:r>
                <w:rPr>
                  <w:i/>
                </w:rPr>
                <w:t xml:space="preserve">Daniel</w:t>
              </w:r>
              <w:r>
                <w:t xml:space="preserve"> [NAC], 221-22.</w:t>
              </w:r>
            </w:t>
          </w:r>
        </w:t>
      </w:r>
    </w:p>
  </w:footnote>
  <w:footnote w:id="20868">
    <w:p>
      <w:pPr>
        <w:pStyle w:val="FootnoteText"/>
      </w:pPr>
      <w:r>
        <w:rPr>
          <w:rStyle w:val="FootnoteReference"/>
        </w:rPr>
        <w:footnoteRef/>
      </w:r>
      <w:r>
        <w:t xml:space="preserve">
          <w:r>
            <w:t xml:space="preserve">
              <w:r>
                <w:t xml:space="preserve"> Cf. Stephen Miller, Daniel [NAC], 225, n. 22.</w:t>
              </w:r>
            </w:t>
          </w:r>
        </w:t>
      </w:r>
    </w:p>
  </w:footnote>
  <w:footnote w:id="25513">
    <w:p>
      <w:pPr>
        <w:pStyle w:val="FootnoteText"/>
      </w:pPr>
      <w:r>
        <w:rPr>
          <w:rStyle w:val="FootnoteReference"/>
        </w:rPr>
        <w:footnoteRef/>
      </w:r>
      <w:r>
        <w:t xml:space="preserve">
          <w:r>
            <w:t xml:space="preserve">
              <w:r>
                <w:t xml:space="preserve"> Cf. C. F. Keil and F. Delitzsch, </w:t>
              </w:r>
              <w:r>
                <w:rPr>
                  <w:i/>
                </w:rPr>
                <w:t xml:space="preserve">Commentary on the Old Testament: Ezekiel, Daniel</w:t>
              </w:r>
              <w:r>
                <w:t xml:space="preserve">, 350-59; See also Stephen Miller, </w:t>
              </w:r>
              <w:r>
                <w:rPr>
                  <w:i/>
                </w:rPr>
                <w:t xml:space="preserve">Daniel</w:t>
              </w:r>
              <w:r>
                <w:t xml:space="preserve"> [NAC], 263-66.</w:t>
              </w:r>
            </w:t>
          </w:r>
        </w:t>
      </w:r>
    </w:p>
  </w:footnote>
  <w:footnote w:id="20700">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12713">
    <w:p>
      <w:pPr>
        <w:pStyle w:val="FootnoteText"/>
      </w:pPr>
      <w:r>
        <w:rPr>
          <w:rStyle w:val="FootnoteReference"/>
        </w:rPr>
        <w:footnoteRef/>
      </w:r>
      <w:r>
        <w:t xml:space="preserve">
          <w:r>
            <w:t xml:space="preserve">
              <w:r>
                <w:t xml:space="preserve"> Cf. Keil &amp;amp; Delitzsch, </w:t>
              </w:r>
              <w:r>
                <w:rPr>
                  <w:i/>
                </w:rPr>
                <w:t xml:space="preserve">Commentary on the Old Testament: Ezekiel, Daniel</w:t>
              </w:r>
              <w:r>
                <w:t xml:space="preserve">, 359-65.</w:t>
              </w:r>
            </w:t>
          </w:r>
        </w:t>
      </w:r>
    </w:p>
  </w:footnote>
  <w:footnote w:id="30491">
    <w:p>
      <w:pPr>
        <w:pStyle w:val="FootnoteText"/>
      </w:pPr>
      <w:r>
        <w:rPr>
          <w:rStyle w:val="FootnoteReference"/>
        </w:rPr>
        <w:footnoteRef/>
      </w:r>
      <w:r>
        <w:t xml:space="preserve">
          <w:r>
            <w:t xml:space="preserve">
              <w:r>
                <w:t xml:space="preserve"> Harry Bultema, </w:t>
              </w:r>
              <w:r>
                <w:rPr>
                  <w:i/>
                </w:rPr>
                <w:t xml:space="preserve">Commentary on Daniel</w:t>
              </w:r>
              <w:r>
                <w:t xml:space="preserve">, 313.</w:t>
              </w:r>
            </w:t>
          </w:r>
        </w:t>
      </w:r>
    </w:p>
  </w:footnote>
  <w:footnote w:id="25684">
    <w:p>
      <w:pPr>
        <w:pStyle w:val="FootnoteText"/>
      </w:pPr>
      <w:r>
        <w:rPr>
          <w:rStyle w:val="FootnoteReference"/>
        </w:rPr>
        <w:footnoteRef/>
      </w:r>
      <w:r>
        <w:t xml:space="preserve">
          <w:r>
            <w:t xml:space="preserve">
              <w:r>
                <w:t xml:space="preserve"> H. C. Leupold, </w:t>
              </w:r>
              <w:r>
                <w:rPr>
                  <w:i/>
                </w:rPr>
                <w:t xml:space="preserve">Exposition of Daniel</w:t>
              </w:r>
              <w:r>
                <w:t xml:space="preserve">, 468.</w:t>
              </w:r>
            </w:t>
          </w:r>
        </w:t>
      </w:r>
    </w:p>
  </w:footnote>
  <w:footnote w:id="30639">
    <w:p>
      <w:pPr>
        <w:pStyle w:val="FootnoteText"/>
      </w:pPr>
      <w:r>
        <w:rPr>
          <w:rStyle w:val="FootnoteReference"/>
        </w:rPr>
        <w:footnoteRef/>
      </w:r>
      <w:r>
        <w:t xml:space="preserve">
          <w:r>
            <w:t xml:space="preserve">
              <w:r>
                <w:t xml:space="preserve"> Stephen Miller, </w:t>
              </w:r>
              <w:r>
                <w:rPr>
                  <w:i/>
                </w:rPr>
                <w:t xml:space="preserve">Daniel</w:t>
              </w:r>
              <w:r>
                <w:t xml:space="preserve"> [NAC], 289.</w:t>
              </w:r>
            </w:t>
          </w:r>
        </w:t>
      </w:r>
    </w:p>
  </w:footnote>
  <w:footnote w:id="25222">
    <w:p>
      <w:pPr>
        <w:pStyle w:val="FootnoteText"/>
      </w:pPr>
      <w:r>
        <w:rPr>
          <w:rStyle w:val="FootnoteReference"/>
        </w:rPr>
        <w:footnoteRef/>
      </w:r>
      <w:r>
        <w:t xml:space="preserve">
          <w:r>
            <w:t xml:space="preserve">
              <w:r>
                <w:t xml:space="preserve"> Buttrick, </w:t>
              </w:r>
              <w:r>
                <w:rPr>
                  <w:i/>
                </w:rPr>
                <w:t xml:space="preserve">Daniel</w:t>
              </w:r>
              <w:r>
                <w:t xml:space="preserve">, The Interpreter’s Bible, vol. 6, 355.</w:t>
              </w:r>
            </w:t>
          </w:r>
        </w:t>
      </w:r>
    </w:p>
  </w:footnote>
  <w:footnote w:id="21111">
    <w:p>
      <w:pPr>
        <w:pStyle w:val="FootnoteText"/>
      </w:pPr>
      <w:r>
        <w:rPr>
          <w:rStyle w:val="FootnoteReference"/>
        </w:rPr>
        <w:footnoteRef/>
      </w:r>
      <w:r>
        <w:t xml:space="preserve">
          <w:r>
            <w:t xml:space="preserve">
              <w:r>
                <w:t xml:space="preserve"> John Walvoord, </w:t>
              </w:r>
              <w:r>
                <w:rPr>
                  <w:i/>
                </w:rPr>
                <w:t xml:space="preserve">Daniel</w:t>
              </w:r>
              <w:r>
                <w:t xml:space="preserve">, 333-34.</w:t>
              </w:r>
            </w:t>
          </w:r>
        </w:t>
      </w:r>
    </w:p>
  </w:footnote>
  <w:footnote w:id="20481">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15158">
    <w:p>
      <w:pPr>
        <w:pStyle w:val="FootnoteText"/>
      </w:pPr>
      <w:r>
        <w:rPr>
          <w:rStyle w:val="FootnoteReference"/>
        </w:rPr>
        <w:footnoteRef/>
      </w:r>
      <w:r>
        <w:t xml:space="preserve">
          <w:r>
            <w:t xml:space="preserve">
              <w:r>
                <w:t xml:space="preserve"> Josephus, </w:t>
              </w:r>
              <w:r>
                <w:rPr>
                  <w:i/>
                </w:rPr>
                <w:t xml:space="preserve">Antiquities of the Jews</w:t>
              </w:r>
              <w:r>
                <w:t xml:space="preserve">, 12.3.3.</w:t>
              </w:r>
            </w:t>
          </w:r>
        </w:t>
      </w:r>
    </w:p>
  </w:footnote>
  <w:footnote w:id="29661">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22559">
    <w:p>
      <w:pPr>
        <w:pStyle w:val="FootnoteText"/>
      </w:pPr>
      <w:r>
        <w:rPr>
          <w:rStyle w:val="FootnoteReference"/>
        </w:rPr>
        <w:footnoteRef/>
      </w:r>
      <w:r>
        <w:t xml:space="preserve">
          <w:r>
            <w:t xml:space="preserve">
              <w:r>
                <w:t xml:space="preserve"> Cf. John Goldingay, </w:t>
              </w:r>
              <w:r>
                <w:rPr>
                  <w:i/>
                </w:rPr>
                <w:t xml:space="preserve">Daniel</w:t>
              </w:r>
              <w:r>
                <w:t xml:space="preserve"> [WBC], 535.</w:t>
              </w:r>
            </w:t>
          </w:r>
        </w:t>
      </w:r>
    </w:p>
  </w:footnote>
  <w:footnote w:id="20242">
    <w:p>
      <w:pPr>
        <w:pStyle w:val="FootnoteText"/>
      </w:pPr>
      <w:r>
        <w:rPr>
          <w:rStyle w:val="FootnoteReference"/>
        </w:rPr>
        <w:footnoteRef/>
      </w:r>
      <w:r>
        <w:t xml:space="preserve">
          <w:r>
            <w:t xml:space="preserve">
              <w:r>
                <w:t xml:space="preserve"> Stephen Miller, </w:t>
              </w:r>
              <w:r>
                <w:rPr>
                  <w:i/>
                </w:rPr>
                <w:t xml:space="preserve">Daniel</w:t>
              </w:r>
              <w:r>
                <w:t xml:space="preserve"> [NAC], 297.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528911">
    <w:multiLevelType w:val="hybridMultilevel"/>
    <w:lvl w:ilvl="0" w:tplc="35845804">
      <w:start w:val="1"/>
      <w:numFmt w:val="decimal"/>
      <w:lvlText w:val="%1."/>
      <w:lvlJc w:val="left"/>
      <w:pPr>
        <w:ind w:left="720" w:hanging="360"/>
      </w:pPr>
    </w:lvl>
    <w:lvl w:ilvl="1" w:tplc="35845804" w:tentative="1">
      <w:start w:val="1"/>
      <w:numFmt w:val="lowerLetter"/>
      <w:lvlText w:val="%2."/>
      <w:lvlJc w:val="left"/>
      <w:pPr>
        <w:ind w:left="1440" w:hanging="360"/>
      </w:pPr>
    </w:lvl>
    <w:lvl w:ilvl="2" w:tplc="35845804" w:tentative="1">
      <w:start w:val="1"/>
      <w:numFmt w:val="lowerRoman"/>
      <w:lvlText w:val="%3."/>
      <w:lvlJc w:val="right"/>
      <w:pPr>
        <w:ind w:left="2160" w:hanging="180"/>
      </w:pPr>
    </w:lvl>
    <w:lvl w:ilvl="3" w:tplc="35845804" w:tentative="1">
      <w:start w:val="1"/>
      <w:numFmt w:val="decimal"/>
      <w:lvlText w:val="%4."/>
      <w:lvlJc w:val="left"/>
      <w:pPr>
        <w:ind w:left="2880" w:hanging="360"/>
      </w:pPr>
    </w:lvl>
    <w:lvl w:ilvl="4" w:tplc="35845804" w:tentative="1">
      <w:start w:val="1"/>
      <w:numFmt w:val="lowerLetter"/>
      <w:lvlText w:val="%5."/>
      <w:lvlJc w:val="left"/>
      <w:pPr>
        <w:ind w:left="3600" w:hanging="360"/>
      </w:pPr>
    </w:lvl>
    <w:lvl w:ilvl="5" w:tplc="35845804" w:tentative="1">
      <w:start w:val="1"/>
      <w:numFmt w:val="lowerRoman"/>
      <w:lvlText w:val="%6."/>
      <w:lvlJc w:val="right"/>
      <w:pPr>
        <w:ind w:left="4320" w:hanging="180"/>
      </w:pPr>
    </w:lvl>
    <w:lvl w:ilvl="6" w:tplc="35845804" w:tentative="1">
      <w:start w:val="1"/>
      <w:numFmt w:val="decimal"/>
      <w:lvlText w:val="%7."/>
      <w:lvlJc w:val="left"/>
      <w:pPr>
        <w:ind w:left="5040" w:hanging="360"/>
      </w:pPr>
    </w:lvl>
    <w:lvl w:ilvl="7" w:tplc="35845804" w:tentative="1">
      <w:start w:val="1"/>
      <w:numFmt w:val="lowerLetter"/>
      <w:lvlText w:val="%8."/>
      <w:lvlJc w:val="left"/>
      <w:pPr>
        <w:ind w:left="5760" w:hanging="360"/>
      </w:pPr>
    </w:lvl>
    <w:lvl w:ilvl="8" w:tplc="35845804" w:tentative="1">
      <w:start w:val="1"/>
      <w:numFmt w:val="lowerRoman"/>
      <w:lvlText w:val="%9."/>
      <w:lvlJc w:val="right"/>
      <w:pPr>
        <w:ind w:left="6480" w:hanging="180"/>
      </w:pPr>
    </w:lvl>
  </w:abstractNum>
  <w:abstractNum w:abstractNumId="10260">
    <w:multiLevelType w:val="hybridMultilevel"/>
    <w:lvl w:ilvl="0" w:tplc="20858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260">
    <w:abstractNumId w:val="10260"/>
  </w:num>
  <w:num w:numId="65528911">
    <w:abstractNumId w:val="655289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7015066" Type="http://schemas.openxmlformats.org/officeDocument/2006/relationships/numbering" Target="numbering.xml"/><Relationship Id="rId107758635" Type="http://schemas.openxmlformats.org/officeDocument/2006/relationships/comments" Target="comments.xml"/><Relationship Id="rId477068680f454f1a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