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Hadēs</w:t>
      </w:r>
    </w:p>
    <w:p>
      <w:pPr>
        <w:pStyle w:val="rNormal"/>
        <w:widowControl w:val="on"/>
        <w:spacing w:before="240" w:after="240" w:line="240" w:lineRule="auto"/>
        <w:ind w:left="0" w:right="0"/>
        <w:jc w:val="left"/>
      </w:pPr>
      <w:r>
        <w:rPr/>
        <w:t xml:space="preserve">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 where there is no thought, knowledge (Ecc. 9:10), or remembrance of God (Psa. 6:5).</w:t>
      </w:r>
    </w:p>
    <w:p>
      <w:pPr>
        <w:pStyle w:val="rNormal"/>
        <w:widowControl w:val="on"/>
        <w:spacing w:before="240" w:after="240" w:line="240" w:lineRule="auto"/>
        <w:ind w:left="0" w:right="0"/>
        <w:jc w:val="left"/>
      </w:pPr>
      <w:r>
        <w:rPr/>
        <w:t xml:space="preserve">Like English, Hebrew has a common noun for “death,” which is </w:t>
      </w:r>
      <w:r>
        <w:rPr>
          <w:i/>
          <w:iCs/>
        </w:rPr>
        <w:t xml:space="preserve">maveth</w:t>
      </w:r>
      <w:r>
        <w:rPr/>
        <w:t xml:space="preserve"> (#04194 מָוֶת), and a commonly used verb for “die,” which is </w:t>
      </w:r>
      <w:r>
        <w:rPr>
          <w:i/>
          <w:iCs/>
        </w:rPr>
        <w:t xml:space="preserve">muth</w:t>
      </w:r>
      <w:r>
        <w:rPr/>
        <w:t xml:space="preserve"> (#04191 מָוֹת).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Yet, since </w:t>
      </w:r>
      <w:r>
        <w:rPr>
          <w:i/>
          <w:iCs/>
        </w:rPr>
        <w:t xml:space="preserve">Hadēs</w:t>
      </w:r>
      <w:r>
        <w:rPr/>
        <w:t xml:space="preserve"> is the place where people go immediately upon death in the Greek language and culture, and </w:t>
      </w:r>
      <w:r>
        <w:rPr>
          <w:i/>
          <w:iCs/>
        </w:rPr>
        <w:t xml:space="preserve">Sheol</w:t>
      </w:r>
      <w:r>
        <w:rPr/>
        <w:t xml:space="preserve"> is the place where people go immediately upon death in the Jewish language and culture, they might have seen the word </w:t>
      </w:r>
      <w:r>
        <w:rPr>
          <w:i/>
          <w:iCs/>
        </w:rPr>
        <w:t xml:space="preserve">Hadēs</w:t>
      </w:r>
      <w:r>
        <w:rPr/>
        <w:t xml:space="preserve"> as the most fitting translation</w:t>
      </w:r>
      <w:r>
        <w:rPr>
          <w:i/>
          <w:iCs/>
        </w:rPr>
        <w:t xml:space="preserve">.</w:t>
      </w:r>
      <w:r>
        <w:rPr/>
        <w:t xml:space="preserve">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Admittedly, it is quite unclear what </w:t>
      </w:r>
      <w:r>
        <w:rPr>
          <w:i/>
          <w:iCs/>
        </w:rPr>
        <w:t xml:space="preserve">Hadēs</w:t>
      </w:r>
      <w:r>
        <w:rPr/>
        <w:t xml:space="preserve"> is exactly referring to in its uses in Revelation, because it is being personified and associated with Death (Rev. 1:18; 20:13-14), yet distinguished from Death (Rev. 6:8), which is also being personified. Still, Luke 16:23 is the only passage in the entire Bible in which </w:t>
      </w:r>
      <w:r>
        <w:rPr>
          <w:i/>
          <w:iCs/>
        </w:rPr>
        <w:t xml:space="preserve">Hadēs</w:t>
      </w:r>
      <w:r>
        <w:rPr/>
        <w:t xml:space="preserve"> is clearly not referring to “the state of being dead.”</w:t>
      </w:r>
    </w:p>
    <w:p>
      <w:pPr>
        <w:pStyle w:val="rNormal"/>
        <w:widowControl w:val="on"/>
        <w:spacing w:before="240" w:after="240" w:line="240" w:lineRule="auto"/>
        <w:ind w:left="0" w:right="0"/>
        <w:jc w:val="left"/>
      </w:pPr>
      <w:r>
        <w:rPr/>
        <w:t xml:space="preserve">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Josephus, speaking of the Pharisees says, “They say that all souls are incorruptible, but that the souls of good men only are removed into other bodies, but that the souls of bad men are subject to eternal punishment.” Josephus goes on to say this regarding the Sadducees in contrast to the Pharisees, “They also take away the belief of the immortal duration of the soul, and the punishments and rewards in Hades.”</w:t>
      </w:r>
      <w:r>
        <w:rPr>
          <w:rStyle w:val="FootnoteReference"/>
        </w:rPr>
        <w:footnoteReference w:id="13187"/>
      </w:r>
      <w:r>
        <w:rPr/>
        <w:t xml:space="preserve"> From these two quotes, it can be deduced that the Pharisees believed in the immortality of the soul, and punishments or rewards in </w:t>
      </w:r>
      <w:r>
        <w:rPr>
          <w:i/>
          <w:iCs/>
        </w:rPr>
        <w:t xml:space="preserve">Hadēs</w:t>
      </w:r>
      <w:r>
        <w:rPr/>
        <w:t xml:space="preserve">. This background brings clarity as to why Jesus would speak of people being alive in </w:t>
      </w:r>
      <w:r>
        <w:rPr>
          <w:i/>
          <w:iCs/>
        </w:rPr>
        <w:t xml:space="preserve">Hadēs</w:t>
      </w:r>
      <w:r>
        <w:rPr/>
        <w:t xml:space="preserve"> in Luke 16:23; he is trying to cater to the Pharisees’ current beliefs so that he can focus on making a separate point.</w:t>
      </w:r>
    </w:p>
    <w:p>
      <w:pPr>
        <w:pStyle w:val="rNormal"/>
        <w:widowControl w:val="on"/>
        <w:spacing w:before="240" w:after="240" w:line="240" w:lineRule="auto"/>
        <w:ind w:left="0" w:right="0"/>
        <w:jc w:val="left"/>
      </w:pPr>
      <w:r>
        <w:rPr/>
        <w:t xml:space="preserve">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 Secondly, he was trying to make the point that there will be justice in the end, and punishment for each unbeliever’s sins, which is taught elsewhere in the Scriptures (2 Cor. 5:10; Matt. 11:22, 24). So, Jesus used the illustration of torment and flames (Luke 16:23-24) to bring the point across.</w:t>
      </w:r>
    </w:p>
    <w:p>
      <w:pPr>
        <w:pStyle w:val="rNormal"/>
        <w:widowControl w:val="on"/>
        <w:spacing w:before="240" w:after="240" w:line="240" w:lineRule="auto"/>
        <w:ind w:left="0" w:right="0"/>
        <w:jc w:val="left"/>
      </w:pPr>
      <w:r>
        <w:rPr/>
        <w:t xml:space="preserve">One thing that is vital to note, is that it is not proper exegesis to take every part of a parable literally, the point of parables is to teach one or two main points, and the rest of the details of a parable are superfluous. For example, in the Parable of the Wise Manager in Luke 16:1-9, Jesus says one debtor owes “100 measures of oil” in the parable, but it would be a mistake in interpretation to think Jesus is speaking of a real person who owes 100 measures of oil, rather this is just a minor detail to build out the story. The Parable of the Wise Manager is about prudence (Luke 16:8), and the other more minor details do not have to correspond to something that is actually true in reality. In the same way, in the Parable of the Rich Man and Lazarus, the minor secondary details (such as people being alive in </w:t>
      </w:r>
      <w:r>
        <w:rPr>
          <w:i/>
          <w:iCs/>
        </w:rPr>
        <w:t xml:space="preserve">Hadēs</w:t>
      </w:r>
      <w:r>
        <w:rPr/>
        <w:t xml:space="preserve">) do not have to correspond to something that is actually true in reality.</w:t>
      </w:r>
    </w:p>
    <w:p>
      <w:pPr>
        <w:pStyle w:val="rNormal"/>
        <w:widowControl w:val="on"/>
        <w:spacing w:before="240" w:after="240" w:line="240" w:lineRule="auto"/>
        <w:ind w:left="0" w:right="0"/>
        <w:jc w:val="left"/>
      </w:pPr>
      <w:r>
        <w:rPr/>
        <w:t xml:space="preserve">Many people mistakenly take the flames in the parable literally, and thus, see support for the idea that unbelievers will be in eternal conscious torment. This is again, a mistake in interpretation. Either unbeliever’s end will be death, or eternal torment, but it cannot be both. The clearer scriptures in the New Testament, that are not parables (Luke 16:19-31) or Apocalyptic visions (Rev. 14:10-11), are unanimous in teaching that the end for non-believers is death (Matt. 10:28; Rom. 5:12; 6:23; 2 Thess. 1:9; 2 Pet. 3:9; Heb. 10:26-27; Rev. 21:8), and that they are not given immortality which is a gift given through the good news (2 Tim. 1:10; Rom. 2:7; 8:11).</w:t>
      </w:r>
    </w:p>
    <w:p>
      <w:pPr>
        <w:pStyle w:val="rNormal"/>
        <w:widowControl w:val="on"/>
        <w:spacing w:before="240" w:after="240" w:line="240" w:lineRule="auto"/>
        <w:ind w:left="0" w:right="0"/>
        <w:jc w:val="left"/>
      </w:pPr>
      <w:r>
        <w:rPr/>
        <w:t xml:space="preserve">All of this to say, Jesus’ use of </w:t>
      </w:r>
      <w:r>
        <w:rPr>
          <w:i/>
          <w:iCs/>
        </w:rPr>
        <w:t xml:space="preserve">Hadēs</w:t>
      </w:r>
      <w:r>
        <w:rPr/>
        <w:t xml:space="preserve"> in this parable should not override the consistent use of </w:t>
      </w:r>
      <w:r>
        <w:rPr>
          <w:i/>
          <w:iCs/>
        </w:rPr>
        <w:t xml:space="preserve">Sheol</w:t>
      </w:r>
      <w:r>
        <w:rPr/>
        <w:t xml:space="preserve"> in the Old Testament and </w:t>
      </w:r>
      <w:r>
        <w:rPr>
          <w:i/>
          <w:iCs/>
        </w:rPr>
        <w:t xml:space="preserve">Hadēs</w:t>
      </w:r>
      <w:r>
        <w:rPr/>
        <w:t xml:space="preserve"> in the New Testament as the “state of being dead,” which all people go to, righteous (Gen. 37:35; Psa. 16:10; Acts 2:31) and unrighteous (Psa. 31:17; Luke 10:15).</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20156"/>
        </w:numPr>
        <w:spacing w:before="0" w:after="0" w:line="240" w:lineRule="auto"/>
        <w:rPr/>
      </w:pPr>
      <w:r>
        <w:rPr/>
        <w:t xml:space="preserve">That as to direction, it is down.</w:t>
      </w:r>
    </w:p>
    <w:p>
      <w:pPr>
        <w:numPr>
          <w:ilvl w:val="0"/>
          <w:numId w:val="20156"/>
        </w:numPr>
        <w:spacing w:before="0" w:after="0" w:line="240" w:lineRule="auto"/>
        <w:rPr/>
      </w:pPr>
      <w:r>
        <w:rPr/>
        <w:t xml:space="preserve">That as to place, it is in the earth.</w:t>
      </w:r>
    </w:p>
    <w:p>
      <w:pPr>
        <w:numPr>
          <w:ilvl w:val="0"/>
          <w:numId w:val="20156"/>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20156"/>
        </w:numPr>
        <w:spacing w:before="0" w:after="0" w:line="240" w:lineRule="auto"/>
        <w:rPr/>
      </w:pPr>
      <w:r>
        <w:rPr/>
        <w:t xml:space="preserve">As to relation, it stands in contrast with the state of the living…. It is never once connected with the living except by contrast.</w:t>
      </w:r>
    </w:p>
    <w:p>
      <w:pPr>
        <w:numPr>
          <w:ilvl w:val="0"/>
          <w:numId w:val="20156"/>
        </w:numPr>
        <w:spacing w:before="0" w:after="0" w:line="240" w:lineRule="auto"/>
        <w:rPr/>
      </w:pPr>
      <w:r>
        <w:rPr/>
        <w:t xml:space="preserve">As to association, it is used in connection with mourning; sorrow; fright and terror; weeping; silence; no knowledge; punishment.</w:t>
      </w:r>
    </w:p>
    <w:p>
      <w:pPr>
        <w:numPr>
          <w:ilvl w:val="0"/>
          <w:numId w:val="20156"/>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FootnoteReference"/>
        </w:rPr>
        <w:footnoteReference w:id="32534"/>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w:t>
      </w:r>
      <w:r>
        <w:rPr>
          <w:i/>
          <w:iCs/>
        </w:rPr>
        <w:t xml:space="preserve">Sheol</w:t>
      </w:r>
      <w:r>
        <w:rPr/>
        <w:t xml:space="preserve"> with a prison that has gates from which there is no escape except by resurrection, so it uses the phrases, “the gates of </w:t>
      </w:r>
      <w:r>
        <w:rPr>
          <w:i/>
          <w:iCs/>
        </w:rPr>
        <w:t xml:space="preserve">Sheol</w:t>
      </w:r>
      <w:r>
        <w:rPr/>
        <w:t xml:space="preserve">” (Job 17:16; Isa. 38:10) and “the gates of death” (Job 38:17; Ps. 9:13; 107:18). Jesus Christ referred to the gates of </w:t>
      </w:r>
      <w:r>
        <w:rPr>
          <w:i/>
          <w:iCs/>
        </w:rPr>
        <w:t xml:space="preserve">Hadēs</w:t>
      </w:r>
      <w:r>
        <w:rPr/>
        <w:t xml:space="preserve"> in Matthew 16:18, and many English versions translate the Greek words as “the gates of hell,” but “the gates of the grave” would be more correct. Once a person has died and gone through the “gates of </w:t>
      </w:r>
      <w:r>
        <w:rPr>
          <w:i/>
          <w:iCs/>
        </w:rPr>
        <w:t xml:space="preserve">Sheol</w:t>
      </w:r>
      <w:r>
        <w:rPr/>
        <w:t xml:space="preserve">,” only God and his Son Jesus can open them and bring the person back to life, but Jesus will open those gates and resurrect people to life. Jesus said that “the gates of the grave (</w:t>
      </w:r>
      <w:r>
        <w:rPr>
          <w:i/>
          <w:iCs/>
        </w:rPr>
        <w:t xml:space="preserve">Hadēs</w:t>
      </w:r>
      <w:r>
        <w:rPr/>
        <w:t xml:space="preserve">)” would not prevail against his church (Matt. 16:18), and indeed, those gates will not prevail because he will raise dead believers to everlasting life.</w:t>
      </w:r>
    </w:p>
    <w:p>
      <w:pPr>
        <w:pStyle w:val="rNormal"/>
        <w:widowControl w:val="on"/>
        <w:spacing w:before="240" w:after="240" w:line="240" w:lineRule="auto"/>
        <w:ind w:left="0" w:right="0"/>
        <w:jc w:val="left"/>
      </w:pPr>
      <w:r>
        <w:rPr/>
        <w:t xml:space="preserve">In the end, </w:t>
      </w:r>
      <w:r>
        <w:rPr>
          <w:i/>
          <w:iCs/>
        </w:rPr>
        <w:t xml:space="preserve">Hadēs</w:t>
      </w:r>
      <w:r>
        <w:rPr/>
        <w:t xml:space="preserve"> refers to the “state of being dead,” and </w:t>
      </w:r>
      <w:r>
        <w:rPr>
          <w:i/>
          <w:iCs/>
        </w:rPr>
        <w:t xml:space="preserve">Gehenna</w:t>
      </w:r>
      <w:r>
        <w:rPr/>
        <w:t xml:space="preserve">, which is another term that often gets translated “hell” in the New Testament, refers to the place of punishment for the wicked in which they will experience a period of punishment for their sins (Matt. 11:22; Luke 12:47-48; 2 Cor. 5:10) and then ultimately, be destroyed (Mark 9:43; Matt. 10:28). Having a correct understanding of these terms helps us see how unbiblical doctrines such as the immortal soul and eternal conscious torment made their way into Christendom, which happened primarily by Greek influence and poor translations. Having a proper understanding of </w:t>
      </w:r>
      <w:r>
        <w:rPr>
          <w:i/>
          <w:iCs/>
        </w:rPr>
        <w:t xml:space="preserve">Hadēs</w:t>
      </w:r>
      <w:r>
        <w:rPr/>
        <w:t xml:space="preserve"> and </w:t>
      </w:r>
      <w:r>
        <w:rPr>
          <w:i/>
          <w:iCs/>
        </w:rPr>
        <w:t xml:space="preserve">Gehenna</w:t>
      </w:r>
      <w:r>
        <w:rPr/>
        <w:t xml:space="preserve"> also helps us see that God truly is a just and merciful God who does not desire to torture people eternally for temporal sins (2 Pet. 3:9), but rather, who desires sin to be eradicated (Gen. 2:17; 6:7; Rom. 6:23) so that the world can dwell in peace and harmony again (Acts 3:21).</w:t>
      </w:r>
    </w:p>
    <w:p>
      <w:pPr>
        <w:pStyle w:val="rNormal"/>
        <w:widowControl w:val="on"/>
        <w:spacing w:before="240" w:after="240" w:line="240" w:lineRule="auto"/>
        <w:ind w:left="0" w:right="0"/>
        <w:jc w:val="left"/>
      </w:pPr>
      <w:r>
        <w:rPr/>
        <w:t xml:space="preserve">[For more information on </w:t>
      </w:r>
      <w:r>
        <w:rPr>
          <w:i/>
          <w:iCs/>
        </w:rPr>
        <w:t xml:space="preserve">Gehenna</w:t>
      </w:r>
      <w:r>
        <w:rPr/>
        <w:t xml:space="preserve">, see Appendix 4: Annihilation in the Lake of Fire.]</w:t>
      </w:r>
    </w:p>
    <w:p>
      <w:r>
        <w:br w:type="page"/>
      </w:r>
    </w:p>
    <w:sectPr xmlns:w="http://schemas.openxmlformats.org/wordprocessingml/2006/main" w:rsidR="00044D3F" w:rsidSect="001A2279">
      <w:footerReference xmlns:r="http://schemas.openxmlformats.org/officeDocument/2006/relationships" w:type="default" r:id="rId586468680f5d9a2c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322451"/>
      <w:docPartObj>
        <w:docPartGallery w:val="Page Numbers (Bottom of Page)"/>
        <w:docPartUnique/>
      </w:docPartObj>
    </w:sdtPr>
    <w:sdtContent>
      <w:sdt>
        <w:sdtPr>
          <w:id w:val="8040767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187">
    <w:p>
      <w:pPr>
        <w:pStyle w:val="FootnoteText"/>
      </w:pPr>
      <w:r>
        <w:rPr>
          <w:rStyle w:val="FootnoteReference"/>
        </w:rPr>
        <w:footnoteRef/>
      </w:r>
      <w:r>
        <w:t xml:space="preserve">
          <w:r>
            <w:t xml:space="preserve">
              <w:r>
                <w:t xml:space="preserve"> Flavius Josephus, </w:t>
              </w:r>
              <w:r>
                <w:rPr>
                  <w:i/>
                </w:rPr>
                <w:t xml:space="preserve">The Wars of the Jews</w:t>
              </w:r>
              <w:r>
                <w:t xml:space="preserve">, trans. by William Whiston, A.M., 1895, 2.162.</w:t>
              </w:r>
            </w:t>
          </w:r>
        </w:t>
      </w:r>
    </w:p>
  </w:footnote>
  <w:footnote w:id="32534">
    <w:p>
      <w:pPr>
        <w:pStyle w:val="FootnoteText"/>
      </w:pPr>
      <w:r>
        <w:rPr>
          <w:rStyle w:val="FootnoteReference"/>
        </w:rPr>
        <w:footnoteRef/>
      </w:r>
      <w:r>
        <w:t xml:space="preserve">
          <w:r>
            <w:t xml:space="preserve">
              <w:r>
                <w:t xml:space="preserve"> Bullinger, </w:t>
              </w:r>
              <w:r>
                <w:rPr>
                  <w:i/>
                </w:rPr>
                <w:t xml:space="preserve">Critical Lexicon and Concordance to the English and Greek New Testament</w:t>
              </w:r>
              <w:r>
                <w:t xml:space="preserve">, 367-369.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233098">
    <w:multiLevelType w:val="hybridMultilevel"/>
    <w:lvl w:ilvl="0" w:tplc="89652498">
      <w:start w:val="1"/>
      <w:numFmt w:val="decimal"/>
      <w:lvlText w:val="%1."/>
      <w:lvlJc w:val="left"/>
      <w:pPr>
        <w:ind w:left="720" w:hanging="360"/>
      </w:pPr>
    </w:lvl>
    <w:lvl w:ilvl="1" w:tplc="89652498" w:tentative="1">
      <w:start w:val="1"/>
      <w:numFmt w:val="lowerLetter"/>
      <w:lvlText w:val="%2."/>
      <w:lvlJc w:val="left"/>
      <w:pPr>
        <w:ind w:left="1440" w:hanging="360"/>
      </w:pPr>
    </w:lvl>
    <w:lvl w:ilvl="2" w:tplc="89652498" w:tentative="1">
      <w:start w:val="1"/>
      <w:numFmt w:val="lowerRoman"/>
      <w:lvlText w:val="%3."/>
      <w:lvlJc w:val="right"/>
      <w:pPr>
        <w:ind w:left="2160" w:hanging="180"/>
      </w:pPr>
    </w:lvl>
    <w:lvl w:ilvl="3" w:tplc="89652498" w:tentative="1">
      <w:start w:val="1"/>
      <w:numFmt w:val="decimal"/>
      <w:lvlText w:val="%4."/>
      <w:lvlJc w:val="left"/>
      <w:pPr>
        <w:ind w:left="2880" w:hanging="360"/>
      </w:pPr>
    </w:lvl>
    <w:lvl w:ilvl="4" w:tplc="89652498" w:tentative="1">
      <w:start w:val="1"/>
      <w:numFmt w:val="lowerLetter"/>
      <w:lvlText w:val="%5."/>
      <w:lvlJc w:val="left"/>
      <w:pPr>
        <w:ind w:left="3600" w:hanging="360"/>
      </w:pPr>
    </w:lvl>
    <w:lvl w:ilvl="5" w:tplc="89652498" w:tentative="1">
      <w:start w:val="1"/>
      <w:numFmt w:val="lowerRoman"/>
      <w:lvlText w:val="%6."/>
      <w:lvlJc w:val="right"/>
      <w:pPr>
        <w:ind w:left="4320" w:hanging="180"/>
      </w:pPr>
    </w:lvl>
    <w:lvl w:ilvl="6" w:tplc="89652498" w:tentative="1">
      <w:start w:val="1"/>
      <w:numFmt w:val="decimal"/>
      <w:lvlText w:val="%7."/>
      <w:lvlJc w:val="left"/>
      <w:pPr>
        <w:ind w:left="5040" w:hanging="360"/>
      </w:pPr>
    </w:lvl>
    <w:lvl w:ilvl="7" w:tplc="89652498" w:tentative="1">
      <w:start w:val="1"/>
      <w:numFmt w:val="lowerLetter"/>
      <w:lvlText w:val="%8."/>
      <w:lvlJc w:val="left"/>
      <w:pPr>
        <w:ind w:left="5760" w:hanging="360"/>
      </w:pPr>
    </w:lvl>
    <w:lvl w:ilvl="8" w:tplc="89652498" w:tentative="1">
      <w:start w:val="1"/>
      <w:numFmt w:val="lowerRoman"/>
      <w:lvlText w:val="%9."/>
      <w:lvlJc w:val="right"/>
      <w:pPr>
        <w:ind w:left="6480" w:hanging="180"/>
      </w:pPr>
    </w:lvl>
  </w:abstractNum>
  <w:abstractNum w:abstractNumId="20156">
    <w:multiLevelType w:val="hybridMultilevel"/>
    <w:lvl w:ilvl="0" w:tplc="647051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156">
    <w:abstractNumId w:val="20156"/>
  </w:num>
  <w:num w:numId="62233098">
    <w:abstractNumId w:val="622330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7539279" Type="http://schemas.openxmlformats.org/officeDocument/2006/relationships/numbering" Target="numbering.xml"/><Relationship Id="rId647515777" Type="http://schemas.openxmlformats.org/officeDocument/2006/relationships/comments" Target="comments.xml"/><Relationship Id="rId586468680f5d9a2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Hades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