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FootnoteReference"/>
        </w:rPr>
        <w:footnoteReference w:id="20727"/>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FootnoteReference"/>
        </w:rPr>
        <w:footnoteReference w:id="20694"/>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280668680f339f5a7"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 This is the most likely meaning and the primary meaning. So, for example, when God was about to impregnate Mary, the angel told her “The Holy Spirit will come upon you, and the power of the Most High will overshadow you” (Luke 1:35), and in that context “the Holy Spirit” and the “power of the Most High” are the same and refer to God in action, which is why Jesus is always called “the Son of God” and not “the Son of the Holy Spirit.” We also see the “spirit of God” referring to God’s power in action in the way Jesus Christ spoke about it. When it came to casting out demons, in Matthew 12:28, Jesus said he cast out demons “by the spirit of God,” but in the parallel record in Luke 11:20, he said he did it “by the finger of God,” i.e., by the power of God. The records are the same, and in that context, “the spirit of God” and the “finger of God” mean the same thing and refer to God’s power in action.</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has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if God intended a single meaning.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1:3</w:t>
      </w:r>
    </w:p>
    <w:p>
      <w:pPr>
        <w:pStyle w:val="rNormal"/>
        <w:widowControl w:val="on"/>
        <w:spacing w:before="240" w:after="240" w:line="240" w:lineRule="auto"/>
        <w:ind w:left="0" w:right="0" w:firstLine="1"/>
        <w:jc w:val="left"/>
      </w:pPr>
      <w:r>
        <w:rPr>
          <w:b/>
          <w:bCs/>
        </w:rPr>
        <w:t xml:space="preserve">“Let there be light, and there was light.”</w:t>
      </w:r>
      <w:r>
        <w:rPr/>
        <w:t xml:space="preserve"> The Hebrew text is short and punchy and displays the power of God. God said, “‘Light be.’ And light became.” At this point, the light was ambient light; there were no light sources on earth. The sun and stars were not formed until the fourth day.</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Normal"/>
        <w:widowControl w:val="on"/>
        <w:spacing w:before="240" w:after="240" w:line="240" w:lineRule="auto"/>
        <w:ind w:left="0" w:right="0" w:firstLine="1"/>
        <w:jc w:val="left"/>
      </w:pPr>
      <w:r>
        <w:rPr>
          <w:b/>
          <w:bCs/>
        </w:rPr>
        <w:t xml:space="preserve">“And God separated the light from the darkness.”</w:t>
      </w:r>
      <w:r>
        <w:rPr/>
        <w:t xml:space="preserve"> This is likely a kind of summary statement that summarizes what God did when He created the sun and moon, which naturally divided the “day” from the “night.” If God separated light from darkness before the sun, moon, and stars were created, then we do not know how He did it or what this refers to.</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phrase “there was evening and there was morning” is the figure of speech polarmerismos, and an idiom for one whole day. In the Hebrew culture, the day started at sunset and ended at sunset the next day. So evening and night were half the day, and morning and daytime were the last half of the day. The figure polarmerismos occurs when two opposite things are juxtaposed such that they refer to a complete whole. For example, the “long and short” of an argument is a way of referring to and summarizing the whole argument. The phrase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[For more on polarmerismos, see commentary on Josh. 14:11. Also see Wordstudy: “Merismos.”]</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1:6</w:t>
      </w:r>
    </w:p>
    <w:p>
      <w:pPr>
        <w:pStyle w:val="rNormal"/>
        <w:widowControl w:val="on"/>
        <w:spacing w:before="240" w:after="240" w:line="240" w:lineRule="auto"/>
        <w:ind w:left="0" w:right="0" w:firstLine="1"/>
        <w:jc w:val="left"/>
      </w:pPr>
      <w:r>
        <w:rPr>
          <w:b/>
          <w:bCs/>
        </w:rPr>
        <w:t xml:space="preserve">“Let there be an expanse in the middle of the waters.”</w:t>
      </w:r>
      <w:r>
        <w:rPr/>
        <w:t xml:space="preserve"> The Hebrew word translated as “expanse” is </w:t>
      </w:r>
      <w:r>
        <w:rPr>
          <w:i/>
          <w:iCs/>
        </w:rPr>
        <w:t xml:space="preserve">raqiva</w:t>
      </w:r>
      <w:r>
        <w:rPr/>
        <w:t xml:space="preserve"> (#07549 רָקִיעַ), and the exact meaning in this context is unknown. It likely refers to an expanse or “space” (NLT) between the water on and under the earth and the water in the sky (in clouds). In Ezekiel chapter 1 it refers to a solid platform (Ezek. 1:22, 23, 25; see commentary on Ezek. 1:22). The NET text note says, “The Hebrew word refers to an expanse of air pressure between the surface of the sea and the clouds, separating water below from water above. In [the NET] v. 8 it is called ‘sky.’”</w:t>
      </w:r>
    </w:p>
    <w:p>
      <w:pPr>
        <w:pStyle w:val="rVersHead"/>
        <w:widowControl w:val="on"/>
      </w:pPr>
      <w:r>
        <w:rPr/>
        <w:t xml:space="preserve">Gen 1:7</w:t>
      </w:r>
    </w:p>
    <w:p>
      <w:pPr>
        <w:pStyle w:val="rNormal"/>
        <w:widowControl w:val="on"/>
        <w:spacing w:before="240" w:after="240" w:line="240" w:lineRule="auto"/>
        <w:ind w:left="0" w:right="0" w:firstLine="1"/>
        <w:jc w:val="left"/>
      </w:pPr>
      <w:r>
        <w:rPr>
          <w:b/>
          <w:bCs/>
        </w:rPr>
        <w:t xml:space="preserve">“the waters that were under the expanse from the waters that were above the expanse.”</w:t>
      </w:r>
      <w:r>
        <w:rPr/>
        <w:t xml:space="preserve"> God separated the waters “under the expanse,” that is, on earth in lakes, oceans, etc., from the waters “above the expanse,” that is, the waters in the clouds, which are above the sky just over the earth.</w:t>
      </w:r>
    </w:p>
    <w:p>
      <w:pPr>
        <w:pStyle w:val="rVersHead"/>
        <w:widowControl w:val="on"/>
      </w:pPr>
      <w:r>
        <w:rPr/>
        <w:t xml:space="preserve">Gen 1:9</w:t>
      </w:r>
    </w:p>
    <w:p>
      <w:pPr>
        <w:pStyle w:val="rNormal"/>
        <w:widowControl w:val="on"/>
        <w:spacing w:before="240" w:after="240" w:line="240" w:lineRule="auto"/>
        <w:ind w:left="0" w:right="0" w:firstLine="1"/>
        <w:jc w:val="left"/>
      </w:pPr>
      <w:r>
        <w:rPr>
          <w:b/>
          <w:bCs/>
        </w:rPr>
        <w:t xml:space="preserve">“let the dry land appear.”</w:t>
      </w:r>
      <w:r>
        <w:rPr/>
        <w:t xml:space="preserve"> The biblical evidence, and some geological evidence as well, supports the conclusion that until some time after Noah’s Flood, all the water on earth was in one place and all the dry land was together in one great continent. This would allow all the animals of earth to go to Noah’s ark, and then later on go from the ark to where they would eventually live. This also explains why the continents can be pieced together so well, as if a well-crafted jigsaw puzzle. Then, at some point after the Flood, most likely during the lifetime of Peleg, the earth was divided into the continents we know today. “To Eber were born two sons. The name of the one was Peleg [division; divider], because in his days the earth was divided” (Gen. 10:25; 1 Chron. 1:19).</w:t>
      </w:r>
    </w:p>
    <w:p>
      <w:pPr>
        <w:pStyle w:val="rVersHead"/>
        <w:widowControl w:val="on"/>
      </w:pPr>
      <w:r>
        <w:rPr/>
        <w:t xml:space="preserve">Gen 1:10</w:t>
      </w:r>
    </w:p>
    <w:p>
      <w:pPr>
        <w:pStyle w:val="rNormal"/>
        <w:widowControl w:val="on"/>
        <w:spacing w:before="240" w:after="240" w:line="240" w:lineRule="auto"/>
        <w:ind w:left="0" w:right="0" w:firstLine="1"/>
        <w:jc w:val="left"/>
      </w:pPr>
      <w:r>
        <w:rPr>
          <w:b/>
          <w:bCs/>
        </w:rPr>
        <w:t xml:space="preserve">“seas.”</w:t>
      </w:r>
      <w:r>
        <w:rPr/>
        <w:t xml:space="preserve"> The Hebrew word translated as “seas” is </w:t>
      </w:r>
      <w:r>
        <w:rPr>
          <w:i/>
          <w:iCs/>
        </w:rPr>
        <w:t xml:space="preserve">yam</w:t>
      </w:r>
      <w:r>
        <w:rPr/>
        <w:t xml:space="preserve"> (#03220 יָם). In Hebrew, a “</w:t>
      </w:r>
      <w:r>
        <w:rPr>
          <w:i/>
          <w:iCs/>
        </w:rPr>
        <w:t xml:space="preserve">yam</w:t>
      </w:r>
      <w:r>
        <w:rPr/>
        <w:t xml:space="preserve">” could be an ocean, a sea, or even a lake. Sadly, in English, we do not have a word that covers as wide a semantic range as </w:t>
      </w:r>
      <w:r>
        <w:rPr>
          <w:i/>
          <w:iCs/>
        </w:rPr>
        <w:t xml:space="preserve">yam</w:t>
      </w:r>
      <w:r>
        <w:rPr/>
        <w:t xml:space="preserve">, although we could use the phrase “body of water.” In today’s English, a “sea” is a smaller body of salt water than an “ocean,” while a “lake” can be large or small but is fresh water, not salt water. A translationally correct reading would be something like “the gathering together of the waters he called “bodies of water,” but that seems awkward. The English translation “seas” goes back in English versions to the 1500s, so it has become entrenched tradition.</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FootnoteReference"/>
        </w:rPr>
        <w:footnoteReference w:id="28069"/>
      </w:r>
    </w:p>
    <w:p>
      <w:pPr>
        <w:pStyle w:val="rNormal"/>
        <w:widowControl w:val="on"/>
        <w:spacing w:before="240" w:after="240" w:line="240" w:lineRule="auto"/>
        <w:ind w:left="0" w:right="0"/>
        <w:jc w:val="left"/>
      </w:pPr>
      <w:r>
        <w:rPr/>
        <w:t xml:space="preserve">We also see that the phrase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horned owl, screech owl, gull,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1:15</w:t>
      </w:r>
    </w:p>
    <w:p>
      <w:pPr>
        <w:pStyle w:val="rNormal"/>
        <w:widowControl w:val="on"/>
        <w:spacing w:before="240" w:after="240" w:line="240" w:lineRule="auto"/>
        <w:ind w:left="0" w:right="0" w:firstLine="1"/>
        <w:jc w:val="left"/>
      </w:pPr>
      <w:r>
        <w:rPr>
          <w:b/>
          <w:bCs/>
        </w:rPr>
        <w:t xml:space="preserve">“to give light on the earth.”</w:t>
      </w:r>
      <w:r>
        <w:rPr/>
        <w:t xml:space="preserve"> This phrase seems to be the figure of speech amphibologia: one thing is said but two true things are meant. The lights in the heavens, such as the sun and moon, do give physical light on earth, but they also give knowledge in various ways (cf. Ps. 19:1-6).</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“waters swarm...birds fly.”</w:t>
      </w:r>
      <w:r>
        <w:rPr/>
        <w:t xml:space="preserve"> The life in the water, such as fish and whales, and the birds in the sky, were made the fifth day. The land animals and humans were made on the sixth day.</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ESV, HCSB,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“across the face of the expanse of the heavens.”</w:t>
      </w:r>
      <w:r>
        <w:rPr/>
        <w:t xml:space="preserve"> The Hebrew is more idiomatic: “upon the face of the expanse of the heavens,” as if the earth observer is looking upward and the heavens are the backdrop to the flying birds. We speak of “the face of the earth,” referring to the surface of the earth, and the “changing face of the ocean,” referring to the constant change in the appearance and surface of the ocean. The Hebrew also uses “face” for the “sky” as if the sky had a surface—a face—just as the earth and oceans do.</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w:t>
      </w:r>
      <w:r>
        <w:rPr>
          <w:i/>
          <w:iCs/>
        </w:rPr>
        <w:t xml:space="preserve">nephesh</w:t>
      </w:r>
      <w:r>
        <w:rPr/>
        <w:t xml:space="preserve">)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“Be fruitful and multiply.”</w:t>
      </w:r>
      <w:r>
        <w:rPr/>
        <w:t xml:space="preserve"> This is still possible today, but it was much easier when the air and water were pure and all the animals ate plants (Gen. 1:30), and not each other. Today, predation and pollution kill a huge percentage of the wildlife on earth.</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 Animals and rodents that crawl on the earth, such as rats, mice, moles, and weasels, are part of the “creeping things” on earth, not just insects, but the creeping things include insects (cf. Lev. 11:29-31).</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“animal...livestock...creeping thing.”</w:t>
      </w:r>
      <w:r>
        <w:rPr/>
        <w:t xml:space="preserve"> The animals and humans were all made on the sixth day. The life in the water, such as fish and whales, and the birds, were made on the fifth day.</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w:t>
      </w:r>
      <w:hyperlink r:id="rId387868680f339fbfa"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FootnoteReference"/>
        </w:rPr>
        <w:footnoteReference w:id="27475"/>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FootnoteReference"/>
        </w:rPr>
        <w:footnoteReference w:id="24506"/>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 These “creeping things” are partially described in Leviticus 11:29-31 and include the small animals and rodents that crawl along the ground.</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differences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 That God stopped creating on the sixth day supports that Adam and Eve were both made on the sixth day. It is not as if Adam lived alone on the earth for some period of time and then God made Eve. She would have been made on the sixth day just as the land animals and Adam were, and when God had finished His creating activity, and looked upon everything He had made, it was “very good” (Gen. 1:31).</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 The future earth will be ruled by people (see commentary on Jer. 23:4).</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and the Devil now being in control of much of what happens on earth,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Hebrew suffix translated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Furthermore, several English Bibles read “by the seventh day” (e.g., BSB, GW, LSV, NASB, NCV, NET 2nd ed., NIV, YLT). For centuries, people have seen a potential problem with Genesis 2:2 saying both that God finished His work on the seventh day and also that God rested on the seventh day. The Septuagint, Samaritan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“rested.”</w:t>
      </w:r>
      <w:r>
        <w:rPr/>
        <w:t xml:space="preserve"> The Hebrew word means “ceased” or “stopped,” but can refer to resting.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 Note that the </w:t>
      </w:r>
      <w:r>
        <w:rPr>
          <w:i/>
          <w:iCs/>
        </w:rPr>
        <w:t xml:space="preserve">HALOT</w:t>
      </w:r>
      <w:r>
        <w:rPr/>
        <w:t xml:space="preserve"> Hebrew-English lexicon lists “rested” as one of the meanings of the Hebrew text.</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FootnoteReference"/>
        </w:rPr>
        <w:footnoteReference w:id="19366"/>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 Nevertheless, it is valuable to understand the idiomatic meaning of “day.”</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firstLine="1"/>
        <w:jc w:val="left"/>
      </w:pPr>
      <w:r>
        <w:rPr>
          <w:b/>
          <w:bCs/>
        </w:rPr>
        <w:t xml:space="preserve">“Yahweh God had not caused it to rain on the earth.”</w:t>
      </w:r>
      <w:r>
        <w:rPr/>
        <w:t xml:space="preserve"> 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The first rains likely came in a few weeks or months after the first week of creation, after the hydrologic cycle had time to start working properly.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its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FootnoteReference"/>
        </w:rPr>
        <w:footnoteReference w:id="20854"/>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and other scholars have asked how “springs” could water the whole ground. Furthermore,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FootnoteReference"/>
        </w:rPr>
        <w:footnoteReference w:id="32702"/>
      </w:r>
      <w:r>
        <w:rPr/>
        <w:t xml:space="preserve"> That the springs would water the “whole face of the ground,” could very well first apply to the land of Eden and then where the rivers it produced flowed.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Thus, the water of life on earth could have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somewhere in Eden. The water from the springs flowed through the Garden and watered it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FootnoteReference"/>
        </w:rPr>
        <w:footnoteReference w:id="11665"/>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Word Study: “Psuchē.”]</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First, over 1,500 years after Adam was Noah’s Flood, which covered the whole earth. Between the Flood itself and the aftermath of the Flood when the waters drained off the land and God made the great ocean basins to hold the water, the geography of the earth significantly changed. Then, sometime after the Flood, in the time of Peleg, the single landmass that constituted the dry land in early Genesis separated and formed the pattern of oceans and continents we have today (Gen. 10:25). There is no way to tell how different that continental shift made the whole earth from the time of Adam and Eve. So, at this time there is no way to tell what the geography around Eden looked like.</w:t>
      </w:r>
    </w:p>
    <w:p>
      <w:pPr>
        <w:pStyle w:val="rNormal"/>
        <w:widowControl w:val="on"/>
        <w:spacing w:before="240" w:after="240" w:line="240" w:lineRule="auto"/>
        <w:ind w:left="0" w:right="0"/>
        <w:jc w:val="left"/>
      </w:pPr>
      <w:r>
        <w:rPr/>
        <w:t xml:space="preserve">What we can tell from Genesis is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is still elevated or sank lower in elevation.</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 Today’s neuroscience is proving that humans have a section of the brain which is hardwired for certain pleasures, and God hardwired us to enjoy His earth. That is why He can say that He made the trees to be “pleasant to the sight.” We humans did not have to “learn” to think that trees and nature were beautiful and relaxing—God created us to automatically feel that way about His creation.</w:t>
      </w:r>
    </w:p>
    <w:p>
      <w:pPr>
        <w:pStyle w:val="rNormal"/>
        <w:widowControl w:val="on"/>
        <w:spacing w:before="240" w:after="240" w:line="240" w:lineRule="auto"/>
        <w:ind w:left="0" w:right="0"/>
        <w:jc w:val="left"/>
      </w:pPr>
      <w:r>
        <w:rPr/>
        <w:t xml:space="preserve">It seems obvious that God did the same thing for the spirit world—made it a wonderful place for them. Although we cannot see it, it is certainly visible to the various kinds of spirits, and it is very colorful, and there was music (Ezek. 28:13), and it seems clear there were hills and valleys as well (Isa. 14:13-14; Ezek. 28:16).</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from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 Rivers begin at a headwater, often a spring, and flow downhill from there, getting bigger and bigger as they go because they pick up water from other sources, such as other creeks, streams, and even rivers, along the way.</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FootnoteReference"/>
        </w:rPr>
        <w:footnoteReference w:id="12288"/>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FootnoteReference"/>
        </w:rPr>
        <w:footnoteReference w:id="20726"/>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FootnoteReference"/>
        </w:rPr>
        <w:footnoteReference w:id="15764"/>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commentary on Genesis 7:19, “exceedingly, yes, exceedingly.”</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FootnoteReference"/>
        </w:rPr>
        <w:footnoteReference w:id="30995"/>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 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FootnoteReference"/>
        </w:rPr>
        <w:footnoteReference w:id="22967"/>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FootnoteReference"/>
        </w:rPr>
        <w:footnoteReference w:id="18455"/>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Quite literally, the Hebrew reads, “he [God] took one from his sides.” For example, the NET reads, “he [God] took part of the man’s side.” The word “one” is in the text and the word translated as rib (or “side”) is plural, so translations that have “God took one of Adam’s ribs,” or “took from one of Adam’s ribs,” are very possible.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FootnoteReference"/>
        </w:rPr>
        <w:footnoteReference w:id="28224"/>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FootnoteReference"/>
        </w:rPr>
        <w:footnoteReference w:id="32705"/>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FootnoteReference"/>
        </w:rPr>
        <w:footnoteReference w:id="27245"/>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FootnoteReference"/>
        </w:rPr>
        <w:footnoteReference w:id="26306"/>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FootnoteReference"/>
        </w:rPr>
        <w:footnoteReference w:id="14210"/>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FootnoteReference"/>
        </w:rPr>
        <w:footnoteReference w:id="10497"/>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were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his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FootnoteReference"/>
        </w:rPr>
        <w:footnoteReference w:id="24410"/>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Cain’s offering was not accepted. It is logical that an important part of the offerings made to God was the grain offering because grain, not meat, was the staple food of the biblical world. The Law of Moses makes it clear that if you grow grain, an offering of grain was acceptable (Lev. 2:1). Also, a tithe of your grain was accepted (Deut. 12:7; 14:23). Furthermore, often a grain offering was offered with the sacrifice (cf. Lev. 9:3-4, 17; 14:20; Num. 6:17). Specifics about the grain offering are given in Leviticus 2:1-16, 6:14-23, and 7:9-10. What is clear from the context is the heart of the offerer, not what the offerer brought. Abel brought the best from his flock, while Cain only brought “from” his produce, not the best of his produce.</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FootnoteReference"/>
        </w:rPr>
        <w:footnoteReference w:id="32236"/>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FootnoteReference"/>
        </w:rPr>
        <w:footnoteReference w:id="23343"/>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FootnoteReference"/>
        </w:rPr>
        <w:footnoteReference w:id="23903"/>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FootnoteReference"/>
        </w:rPr>
        <w:footnoteReference w:id="17104"/>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FootnoteReference"/>
        </w:rPr>
        <w:footnoteReference w:id="25892"/>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FootnoteReference"/>
        </w:rPr>
        <w:footnoteReference w:id="16429"/>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FootnoteReference"/>
        </w:rPr>
        <w:footnoteReference w:id="12294"/>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FootnoteReference"/>
        </w:rPr>
        <w:footnoteReference w:id="17940"/>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FootnoteReference"/>
        </w:rPr>
        <w:footnoteReference w:id="32211"/>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FootnoteReference"/>
        </w:rPr>
        <w:footnoteReference w:id="11727"/>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FootnoteReference"/>
        </w:rPr>
        <w:footnoteReference w:id="28196"/>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men began to call on the name of Yahweh.”</w:t>
      </w:r>
      <w:r>
        <w:rPr/>
        <w:t xml:space="preserve"> This sentence has generated much discussion and a number of possible meanings. It seems that it is unlikely that the traditional translation, “Then men began to call on the name of the LORD” is unlikely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FootnoteReference"/>
        </w:rPr>
        <w:footnoteReference w:id="32292"/>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The Companion Bible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FootnoteReference"/>
        </w:rPr>
        <w:footnoteReference w:id="18726"/>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FootnoteReference"/>
        </w:rPr>
        <w:footnoteReference w:id="25461"/>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FootnoteReference"/>
        </w:rPr>
        <w:footnoteReference w:id="16272"/>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FootnoteReference"/>
        </w:rPr>
        <w:footnoteReference w:id="26231"/>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FootnoteReference"/>
        </w:rPr>
        <w:footnoteReference w:id="28636"/>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FootnoteReference"/>
        </w:rPr>
        <w:footnoteReference w:id="19236"/>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when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FootnoteReference"/>
        </w:rPr>
        <w:footnoteReference w:id="10831"/>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6:7</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FootnoteReference"/>
        </w:rPr>
        <w:footnoteReference w:id="19428"/>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FootnoteReference"/>
        </w:rPr>
        <w:footnoteReference w:id="31600"/>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almost certainly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FootnoteReference"/>
        </w:rPr>
        <w:footnoteReference w:id="25702"/>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creature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7:23</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FootnoteReference"/>
        </w:rPr>
        <w:footnoteReference w:id="13615"/>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8:19</w:t>
      </w:r>
    </w:p>
    <w:p>
      <w:pPr>
        <w:pStyle w:val="rNormal"/>
        <w:widowControl w:val="on"/>
        <w:spacing w:before="240" w:after="240" w:line="240" w:lineRule="auto"/>
        <w:ind w:left="0" w:right="0" w:firstLine="1"/>
        <w:jc w:val="left"/>
      </w:pPr>
      <w:r>
        <w:rPr>
          <w:b/>
          <w:bCs/>
        </w:rPr>
        <w:t xml:space="preserve">“creeping things.”</w:t>
      </w:r>
      <w:r>
        <w:rPr/>
        <w:t xml:space="preserve"> These are partially described in Leviticus 11:29-31 and include the small animals and rodents that crawl along the ground, such as mice, rats, weasels, lizards, etc.</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“Yahweh smelled the pleasing aroma.”</w:t>
      </w:r>
      <w:r>
        <w:rPr/>
        <w:t xml:space="preserve"> The Hebrew word can mean “soothing” or “pleasing” and the English versions differ. The basic idea is that the sacrifice pleased God and calmed Him down. We see that clearly here in the record of Noah. God saw that the wickedness of humankind was great and He decided to kill them off, but had compassion on Noah (Gen. 6:5-8). After the flood, when only Noah and his family were left of all humankind, Noah made a sacrifice to God and God smelled the pleasant aroma and said He would never wipe out humankind by a flood again (Gen. 8:20-22). Although the record does not say it, it was Noah’s heart to love and obey God that was behind the sacrifice that changed God’s mind, not the smell of the sacrifice. Sacrifices offered by ungodly and hypocritical people do not please God (see commentary on Amos 5:22). God accepts the offering and the worshiper at the same time. If the heart of the worshiper is right, the offering will be accepted and will be a blessing to God.</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This ordinance was to be strictly enforced, so it is stated many times in the Law (cf. Gen. 9:4; Lev. 3:17; 7:26, 27; 17:10, 12, 14; 19:26; Deut. 12:16, 23; 15:23; and 1 Sam. 14:33).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FootnoteReference"/>
        </w:rPr>
        <w:footnoteReference w:id="11502"/>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22882"/>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22882"/>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22882"/>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22882"/>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22882"/>
        </w:numPr>
        <w:spacing w:before="0" w:after="0" w:line="240" w:lineRule="auto"/>
        <w:rPr/>
      </w:pPr>
      <w:r>
        <w:rPr>
          <w:b/>
          <w:bCs/>
        </w:rPr>
        <w:t xml:space="preserve">Leviticus 20:20 (ESV):</w:t>
      </w:r>
      <w:r>
        <w:rPr/>
        <w:t xml:space="preserve"> If a man lies with his uncle’s wife, he has uncovered his uncle’s nakedness;</w:t>
      </w:r>
    </w:p>
    <w:p>
      <w:pPr>
        <w:numPr>
          <w:ilvl w:val="0"/>
          <w:numId w:val="22882"/>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22882"/>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prophecies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discernible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FootnoteReference"/>
        </w:rPr>
        <w:footnoteReference w:id="13573"/>
      </w:r>
      <w:r>
        <w:rPr/>
        <w:t xml:space="preserve"> Given that, the Hebrew phrase “before Yahweh” has been understood by many scholars to have the sense of “in defiance of” Yahweh;</w:t>
      </w:r>
      <w:r>
        <w:rPr>
          <w:rStyle w:val="FootnoteReference"/>
        </w:rPr>
        <w:footnoteReference w:id="10978"/>
      </w:r>
      <w:r>
        <w:rPr/>
        <w:t xml:space="preserve"> or “against” Yahweh.</w:t>
      </w:r>
      <w:r>
        <w:rPr>
          <w:rStyle w:val="FootnoteReference"/>
        </w:rPr>
        <w:footnoteReference w:id="21330"/>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FootnoteReference"/>
        </w:rPr>
        <w:footnoteReference w:id="26867"/>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Phoenicia.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who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FootnoteReference"/>
        </w:rPr>
        <w:footnoteReference w:id="14107"/>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“because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the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FootnoteReference"/>
        </w:rPr>
        <w:footnoteReference w:id="14865"/>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However,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southeastern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FootnoteReference"/>
        </w:rPr>
        <w:footnoteReference w:id="18598"/>
      </w:r>
      <w:r>
        <w:rPr/>
        <w:t xml:space="preserve"> gives seven good reasons that this northwestern Ur is actually the “Ur” in Genesis 11:31; the Ur of Abraham. Those reasons are summarized here:</w:t>
      </w:r>
    </w:p>
    <w:p>
      <w:pPr>
        <w:numPr>
          <w:ilvl w:val="0"/>
          <w:numId w:val="27098369"/>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27098369"/>
        </w:numPr>
        <w:spacing w:before="0" w:after="0" w:line="240" w:lineRule="auto"/>
        <w:rPr/>
      </w:pPr>
      <w:r>
        <w:rPr/>
        <w:t xml:space="preserve">There are hundreds of references to the famous Ur in the cuneiform texts, and not once is it called “Ur of the Chaldees.”</w:t>
      </w:r>
    </w:p>
    <w:p>
      <w:pPr>
        <w:numPr>
          <w:ilvl w:val="0"/>
          <w:numId w:val="27098369"/>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27098369"/>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27098369"/>
        </w:numPr>
        <w:spacing w:before="0" w:after="0" w:line="240" w:lineRule="auto"/>
        <w:rPr/>
      </w:pPr>
      <w:r>
        <w:rPr/>
        <w:t xml:space="preserve">A tablet from Ebla refers to “Ur in Haran.”</w:t>
      </w:r>
    </w:p>
    <w:p>
      <w:pPr>
        <w:numPr>
          <w:ilvl w:val="0"/>
          <w:numId w:val="27098369"/>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27098369"/>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had been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FootnoteReference"/>
        </w:rPr>
        <w:footnoteReference w:id="26523"/>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through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FootnoteReference"/>
        </w:rPr>
        <w:footnoteReference w:id="15259"/>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FootnoteReference"/>
        </w:rPr>
        <w:footnoteReference w:id="24986"/>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Word Study: “Psuchē.”]</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FootnoteReference"/>
        </w:rPr>
        <w:footnoteReference w:id="32672"/>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FootnoteReference"/>
        </w:rPr>
        <w:footnoteReference w:id="14246"/>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FootnoteReference"/>
        </w:rPr>
        <w:footnoteReference w:id="13304"/>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FootnoteReference"/>
        </w:rPr>
        <w:footnoteReference w:id="18635"/>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FootnoteReference"/>
        </w:rPr>
        <w:footnoteReference w:id="20951"/>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FootnoteReference"/>
        </w:rPr>
        <w:footnoteReference w:id="18981"/>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FootnoteReference"/>
        </w:rPr>
        <w:footnoteReference w:id="29295"/>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FootnoteReference"/>
        </w:rPr>
        <w:footnoteReference w:id="10232"/>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FootnoteReference"/>
        </w:rPr>
        <w:footnoteReference w:id="18949"/>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FootnoteReference"/>
        </w:rPr>
        <w:footnoteReference w:id="22293"/>
      </w:r>
      <w:r>
        <w:rPr/>
        <w:t xml:space="preserve"> Nahum Sarna agrees, and says, “Hebrew root </w:t>
      </w:r>
      <w:r>
        <w:rPr>
          <w:i/>
          <w:iCs/>
        </w:rPr>
        <w:t xml:space="preserve">n-f-l</w:t>
      </w:r>
      <w:r>
        <w:rPr/>
        <w:t xml:space="preserve"> often has this meaning [of a voluntary “falling”]”</w:t>
      </w:r>
      <w:r>
        <w:rPr>
          <w:rStyle w:val="FootnoteReference"/>
        </w:rPr>
        <w:footnoteReference w:id="11791"/>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FootnoteReference"/>
        </w:rPr>
        <w:footnoteReference w:id="14947"/>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FootnoteReference"/>
        </w:rPr>
        <w:footnoteReference w:id="20759"/>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27:30-33).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“word of Yahweh came to Abram.”</w:t>
      </w:r>
      <w:r>
        <w:rPr/>
        <w:t xml:space="preserve"> Some Trinitarians argue that the “word of the LORD/Yahweh” being referenced in Genesis 15:1 is a separate being from Yahweh himself. Many propose that the “word of the LORD” is Jesus. There are quite a few reasons why this is not the case.</w:t>
      </w:r>
    </w:p>
    <w:p>
      <w:pPr>
        <w:pStyle w:val="rNormal"/>
        <w:widowControl w:val="on"/>
        <w:spacing w:before="240" w:after="240" w:line="240" w:lineRule="auto"/>
        <w:ind w:left="0" w:right="0"/>
        <w:jc w:val="left"/>
      </w:pPr>
      <w:r>
        <w:rPr/>
        <w:t xml:space="preserve">First, the Word of Yahweh never talks to Yahweh. Not once in the entire Old Testament. If the word of Yahweh was a separate person of the Trinity, as Trinitarians claim with this verse, one would expect maybe just one time, out of the 242 times the phrase appears, the Word would speak to Yahweh. This fact alone provides good support that the “Word of Yahweh” is not a different being from Yahweh himself.</w:t>
      </w:r>
    </w:p>
    <w:p>
      <w:pPr>
        <w:pStyle w:val="rNormal"/>
        <w:widowControl w:val="on"/>
        <w:spacing w:before="240" w:after="240" w:line="240" w:lineRule="auto"/>
        <w:ind w:left="0" w:right="0"/>
        <w:jc w:val="left"/>
      </w:pPr>
      <w:r>
        <w:rPr/>
        <w:t xml:space="preserve">Second, the Word of Yahweh is not a separate being from Yahweh any more than the word of Moses (Ex. 8:31; 12:35; 32:28) is a separate being from Moses. It is simply a Semitic expression to denote what someone said. Exodus 8:13 says, “So Yahweh did according to the word of Moses, and the frogs died out from the houses, from the courts, and from the fields.” Are we to conclude that there is a separate being from Moses, somehow related to Moses, whom God listened to? Surely not.</w:t>
      </w:r>
    </w:p>
    <w:p>
      <w:pPr>
        <w:pStyle w:val="rNormal"/>
        <w:widowControl w:val="on"/>
        <w:spacing w:before="240" w:after="240" w:line="240" w:lineRule="auto"/>
        <w:ind w:left="0" w:right="0"/>
        <w:jc w:val="left"/>
      </w:pPr>
      <w:r>
        <w:rPr/>
        <w:t xml:space="preserve">This Semitic idiom can be seen clearly in Numbers 3:51, which reads, “and Moses gave the redemption money to Aaron and to his sons, according to the Word of Yahweh, as Yahweh commanded Moses.” Here, it can be clearly seen that “according to the Word of Yahweh” is simply an idiomatic way of saying, “as Yahweh commanded.”</w:t>
      </w:r>
    </w:p>
    <w:p>
      <w:pPr>
        <w:pStyle w:val="rNormal"/>
        <w:widowControl w:val="on"/>
        <w:spacing w:before="240" w:after="240" w:line="240" w:lineRule="auto"/>
        <w:ind w:left="0" w:right="0"/>
        <w:jc w:val="left"/>
      </w:pPr>
      <w:r>
        <w:rPr/>
        <w:t xml:space="preserve">This understanding is further solidified by the context. Earlier in this passage, in Numbers 3:44 and 48, it says, “Yahweh spoke to Moses, saying… ‘you are to give the money…to Aaron and to his sons.’” So, in context, who is giving this command to Moses? Yahweh. The “word of Yahweh” never gives this command to Moses. Only one being gives this command to Moses, Yahweh.</w:t>
      </w:r>
    </w:p>
    <w:p>
      <w:pPr>
        <w:pStyle w:val="rNormal"/>
        <w:widowControl w:val="on"/>
        <w:spacing w:before="240" w:after="240" w:line="240" w:lineRule="auto"/>
        <w:ind w:left="0" w:right="0"/>
        <w:jc w:val="left"/>
      </w:pPr>
      <w:r>
        <w:rPr/>
        <w:t xml:space="preserve">Thus, it is clear that by employing the phrase “according to the Word of Yahweh,” the author is not intending to say a different being besides Yahweh actually gave this command to Moses.</w:t>
      </w:r>
    </w:p>
    <w:p>
      <w:pPr>
        <w:pStyle w:val="rNormal"/>
        <w:widowControl w:val="on"/>
        <w:spacing w:before="240" w:after="240" w:line="240" w:lineRule="auto"/>
        <w:ind w:left="0" w:right="0"/>
        <w:jc w:val="left"/>
      </w:pPr>
      <w:r>
        <w:rPr/>
        <w:t xml:space="preserve">Now, there are times when the phrase, “the Word of the LORD” is used and Yahweh is not directly speaking to someone; rather, there is an intermediary. For example, in Joshua 8:8, Joshua is the one who actually communicates the Word of the LORD/Yahweh. It reads, “You are to do according to the word of Yahweh. See I have commanded you.” Joshua is the one speaking, yet the words he is saying are the words of Yahweh. All of this to say, “the Word of the LORD” is not a separate person, but a separate person can speak the word of the LORD to others.</w:t>
      </w:r>
    </w:p>
    <w:p>
      <w:pPr>
        <w:pStyle w:val="rNormal"/>
        <w:widowControl w:val="on"/>
        <w:spacing w:before="240" w:after="240" w:line="240" w:lineRule="auto"/>
        <w:ind w:left="0" w:right="0"/>
        <w:jc w:val="left"/>
      </w:pPr>
      <w:r>
        <w:rPr/>
        <w:t xml:space="preserve">Third, some Trinitarians propose that this really is a separate being from Yahweh in Genesis 15:1, because it says that the “Word of Yahweh came to Abram.” The simple solution to this is that the phrase, ‘the word of ____ came to ____’ is a personification. This personification can be seen in 1 Samuel 4:1, which reads, “And the word of Samuel came to all Israel.” In context, 1 Samuel 3 just ended by saying that Samuel was established as a prophet of God. In other words, he was consistently speaking God’s words to Israel. So, when 1 Samuel 4:1 says “the word of Samuel came to all Israel,” it would be quite a creative interpretation to believe that a separate being from Samuel, that is somehow related to Samuel, literally came to Israel. No, rather, this is clear personification. It just means that Samuel spoke to Israel.</w:t>
      </w:r>
    </w:p>
    <w:p>
      <w:pPr>
        <w:pStyle w:val="rNormal"/>
        <w:widowControl w:val="on"/>
        <w:spacing w:before="240" w:after="240" w:line="240" w:lineRule="auto"/>
        <w:ind w:left="0" w:right="0"/>
        <w:jc w:val="left"/>
      </w:pPr>
      <w:r>
        <w:rPr/>
        <w:t xml:space="preserve">Therefore, when Genesis 15:1 says that “the Word of Yahweh came to Abram in a vision,” this by no means implies that there is a separate being coming to Abram in a vision, in fact later in the same passage it says that “Yahweh brought him outside and said, ‘Look now toward the heavens….’” So, in the context, Yahweh is identified as the one who was speaking to Abram.</w:t>
      </w:r>
    </w:p>
    <w:p>
      <w:pPr>
        <w:pStyle w:val="rNormal"/>
        <w:widowControl w:val="on"/>
        <w:spacing w:before="240" w:after="240" w:line="240" w:lineRule="auto"/>
        <w:ind w:left="0" w:right="0"/>
        <w:jc w:val="left"/>
      </w:pPr>
      <w:r>
        <w:rPr/>
        <w:t xml:space="preserve">It has been demonstrated that the biblical evidence and cultural semantics strongly support understanding Genesis 15:1 as a Hebrew idiom, not as teaching that a separate conscious being (Jesus) spoke to Abram. Lastly, remember that no New Testament or Old Testament author ever makes this claim, that Jesus is the “Word of the LORD” in these passages, so, at best, it is a speculative argument from Trinitarians.</w:t>
      </w:r>
    </w:p>
    <w:p>
      <w:pPr>
        <w:pStyle w:val="rNormal"/>
        <w:widowControl w:val="on"/>
        <w:spacing w:before="240" w:after="240" w:line="240" w:lineRule="auto"/>
        <w:ind w:left="0" w:right="0" w:firstLine="1"/>
        <w:jc w:val="left"/>
      </w:pPr>
      <w:r>
        <w:rPr>
          <w:b/>
          <w:bCs/>
        </w:rPr>
        <w:t xml:space="preserve">“vision.”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FootnoteReference"/>
        </w:rPr>
        <w:footnoteReference w:id="11919"/>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(for many people, that is because they are ignorant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10:9).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righteous in God’s sight because of that.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 This proves what Romans 4 and Galatians 3 say: that righteousness is by trust, not works. Works don’t save us, and sin does not make us unrighteous in the sight of God. Righteousness and salvation come by trust. If Abraham had abandoned his trust in God, then he would not have remained righteous in the sight of God (cf. Ezek. 18:21-24; 33:12-16). On the other hand, since everyone sins, the key to being righteous in God’s sight is maintaining your trust in God.</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FootnoteReference"/>
        </w:rPr>
        <w:footnoteReference w:id="25265"/>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FootnoteReference"/>
        </w:rPr>
        <w:footnoteReference w:id="15959"/>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FootnoteReference"/>
        </w:rPr>
        <w:footnoteReference w:id="17207"/>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FootnoteReference"/>
        </w:rPr>
        <w:footnoteReference w:id="23642"/>
      </w:r>
      <w:r>
        <w:rPr/>
        <w:t xml:space="preserve"> C. F. Keil correctly states that in this context “Amorite” is “used here as the common name of all the inhabitants of Canaan, just as in Josh. 24:15.”</w:t>
      </w:r>
      <w:r>
        <w:rPr>
          <w:rStyle w:val="FootnoteReference"/>
        </w:rPr>
        <w:footnoteReference w:id="29349"/>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FootnoteReference"/>
        </w:rPr>
        <w:footnoteReference w:id="28533"/>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“cut a covenant.”</w:t>
      </w:r>
      <w:r>
        <w:rPr/>
        <w:t xml:space="preserve"> The Hebrew text is literally “cut a covenant.” Very few English Bibles translate the text that way, although some English versions do (cf. CEB, LSB, Schocken Bible, Tree of Life Version). Most English versions read “made a covenant.” The reason for the English translation “made a covenant” seems to be that there were many covenants made in the ancient world in which nothing was literally “cut.” For example, in the salt covenant, which was another common covenant, nothing was actually cut (cf. Lev. 2:13; Num. 18:19; 2 Chron. 13:5). Nevertheless, the phrase “cut a covenant” continued to exist in the common idiom of the language and pointed back to the ancient custom of actually cutting a covenant as we see Abraham did here in Genesis 15.</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FootnoteReference"/>
        </w:rPr>
        <w:footnoteReference w:id="27596"/>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FootnoteReference"/>
        </w:rPr>
        <w:footnoteReference w:id="31037"/>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FootnoteReference"/>
        </w:rPr>
        <w:footnoteReference w:id="26581"/>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on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29895"/>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that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dwelt in the Temple Israel built for Him (Ps. 68:29). Then, Israel’s sin caused God to leave the Temple and eventually leave Jerusalem entirely (see commentary on Ezek. 8:4). God portrays Himself getting from one place to another by riding on cherubim (2 Sam. 22:11; Ps. 18:10). God also rides on a chariot-throne powered by cherubim (Ezek. 1:22-28; and read the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 To us today, however, we understand that God can be everywhere at once, but in order to relate better to us humans, He says He is in a given place, like in “heaven.”</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Although El Shaddai is traditionally rendered “God Almighty,” as we will see below, the evidence points to “El Shaddai” meaning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in those places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FootnoteReference"/>
        </w:rPr>
        <w:footnoteReference w:id="16663"/>
      </w:r>
      <w:r>
        <w:rPr/>
        <w:t xml:space="preserve"> It is also worth noting that in Genesis 49:25, “there is an obvious wordplay between Shaddai and </w:t>
      </w:r>
      <w:r>
        <w:rPr>
          <w:i/>
          <w:iCs/>
        </w:rPr>
        <w:t xml:space="preserve">shadayim</w:t>
      </w:r>
      <w:r>
        <w:rPr/>
        <w:t xml:space="preserve"> [breasts].”</w:t>
      </w:r>
      <w:r>
        <w:rPr>
          <w:rStyle w:val="FootnoteReference"/>
        </w:rPr>
        <w:footnoteReference w:id="28925"/>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FootnoteReference"/>
        </w:rPr>
        <w:footnoteReference w:id="20565"/>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FootnoteReference"/>
        </w:rPr>
        <w:footnoteReference w:id="30009"/>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FootnoteReference"/>
        </w:rPr>
        <w:footnoteReference w:id="25207"/>
      </w:r>
      <w:r>
        <w:rPr/>
        <w:t xml:space="preserve"> Similarly, in Ezekiel 47:1-9, and Zechariah 14:8, during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in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FootnoteReference"/>
        </w:rPr>
        <w:footnoteReference w:id="10968"/>
      </w:r>
      <w:r>
        <w:rPr/>
        <w:t xml:space="preserve"> “Among the Canaanites, the high god was thought to dwell in a temple or tent on the holy mountain.”</w:t>
      </w:r>
      <w:r>
        <w:rPr>
          <w:rStyle w:val="FootnoteReference"/>
        </w:rPr>
        <w:footnoteReference w:id="22179"/>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Baal-Hadad, lives on Mount Zaphon. Much of the lore concerning Ugaritic [Mount] Zaphon is found to apply to Mount Zion as well.”</w:t>
      </w:r>
      <w:r>
        <w:rPr>
          <w:rStyle w:val="FootnoteReference"/>
        </w:rPr>
        <w:footnoteReference w:id="28786"/>
      </w:r>
      <w:r>
        <w:rPr/>
        <w:t xml:space="preserve"> “Gods are regularly shown in Hittite art standing on mountains.”</w:t>
      </w:r>
      <w:r>
        <w:rPr>
          <w:rStyle w:val="FootnoteReference"/>
        </w:rPr>
        <w:footnoteReference w:id="18315"/>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He was “the Most High God,” because His seat would be the highest in both rank and elevation.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Furthermore, in the Millennial Kingdom the Temple will be built on Mount Zion, which at that future date will be a “very high mountain” (Ezek. 40:2), and, in fact, lifted up to be the highest mountain (cf. Isa. 2:2; Mic.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FootnoteReference"/>
        </w:rPr>
        <w:footnoteReference w:id="13359"/>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FootnoteReference"/>
        </w:rPr>
        <w:footnoteReference w:id="24782"/>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FootnoteReference"/>
        </w:rPr>
        <w:footnoteReference w:id="14501"/>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FootnoteReference"/>
        </w:rPr>
        <w:footnoteReference w:id="25098"/>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FootnoteReference"/>
        </w:rPr>
        <w:footnoteReference w:id="23276"/>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FootnoteReference"/>
        </w:rPr>
        <w:footnoteReference w:id="29122"/>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FootnoteReference"/>
        </w:rPr>
        <w:footnoteReference w:id="17472"/>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(Exod. 34:5),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or, it was the preincarnate Christ who appeared; or,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good reason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17958"/>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Word Study: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through him.”</w:t>
      </w:r>
      <w:r>
        <w:rPr/>
        <w:t xml:space="preserve"> This is a clarification and an expansion of what God had said to Abraham in Genesis 12:3. There, all the “clans” (or extended families) of the earth would be blessed, while here in Genesis 18:18, all the “nations” of the earth will be blessed through Abraham. This could only happen if the Messiah would come through Abraham, then he would be a blessing to all nations. This prophecy is then expanded and clarified in Genesis 22:18, where the nations of the earth are foretold to be blessed through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approach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FootnoteReference"/>
        </w:rPr>
        <w:footnoteReference w:id="12267"/>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FootnoteReference"/>
        </w:rPr>
        <w:footnoteReference w:id="31742"/>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21:12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FootnoteReference"/>
        </w:rPr>
        <w:footnoteReference w:id="18305"/>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FootnoteReference"/>
        </w:rPr>
        <w:footnoteReference w:id="14666"/>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Isaac as Abraham’s “son...only son...whom you love...Isaac” establishes the intimate relationship between Abraham and his son, which is especially the case since Abraham’s first son, Ishmael, had been sent away years before. Abraham’s hope lay in Isaac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FootnoteReference"/>
        </w:rPr>
        <w:footnoteReference w:id="23037"/>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FootnoteReference"/>
        </w:rPr>
        <w:footnoteReference w:id="17517"/>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Word Study: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FootnoteReference"/>
        </w:rPr>
        <w:footnoteReference w:id="13762"/>
      </w:r>
      <w:r>
        <w:rPr/>
        <w:t xml:space="preserve"> This use of </w:t>
      </w:r>
      <w:r>
        <w:rPr>
          <w:i/>
          <w:iCs/>
        </w:rPr>
        <w:t xml:space="preserve">raah</w:t>
      </w:r>
      <w:r>
        <w:rPr/>
        <w:t xml:space="preserve"> here is no doubt a very purposeful choice of words on God’s part and an amphibologia (double meaning)</w:t>
      </w:r>
      <w:r>
        <w:rPr>
          <w:rStyle w:val="FootnoteReference"/>
        </w:rPr>
        <w:footnoteReference w:id="26312"/>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“Through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through Abraham. This could only happen if the Messiah would come through Abraham, then he would be a blessing to all nations. That prophecy is then expanded again and clarified in Genesis 22:18, where the nations of the earth are foretold to be blessed through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FootnoteReference"/>
        </w:rPr>
        <w:footnoteReference w:id="16882"/>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FootnoteReference"/>
        </w:rPr>
        <w:footnoteReference w:id="26463"/>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FootnoteReference"/>
        </w:rPr>
        <w:footnoteReference w:id="21486"/>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FootnoteReference"/>
        </w:rPr>
        <w:footnoteReference w:id="13356"/>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FootnoteReference"/>
        </w:rPr>
        <w:footnoteReference w:id="23280"/>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FootnoteReference"/>
        </w:rPr>
        <w:footnoteReference w:id="2780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w:t>
      </w:r>
      <w:r>
        <w:rPr>
          <w:i/>
          <w:iCs/>
        </w:rPr>
        <w:t xml:space="preserve">elohim</w:t>
      </w:r>
      <w:r>
        <w:rPr/>
        <w:t xml:space="preserve">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FootnoteReference"/>
        </w:rPr>
        <w:footnoteReference w:id="27741"/>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FootnoteReference"/>
        </w:rPr>
        <w:footnoteReference w:id="22907"/>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FootnoteReference"/>
        </w:rPr>
        <w:footnoteReference w:id="20705"/>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FootnoteReference"/>
        </w:rPr>
        <w:footnoteReference w:id="24560"/>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FootnoteReference"/>
        </w:rPr>
        <w:footnoteReference w:id="26146"/>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FootnoteReference"/>
        </w:rPr>
        <w:footnoteReference w:id="23372"/>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FootnoteReference"/>
        </w:rPr>
        <w:footnoteReference w:id="28766"/>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Word Study: “Hades”).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 This prophecy is repeated in part in Romans 9:12.</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“Esau”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FootnoteReference"/>
        </w:rPr>
        <w:footnoteReference w:id="31559"/>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FootnoteReference"/>
        </w:rPr>
        <w:footnoteReference w:id="30572"/>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Isaac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can often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FootnoteReference"/>
        </w:rPr>
        <w:footnoteReference w:id="14076"/>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The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a partitive sense, “far from” is the more dominant meaning. Although Edom, where Esau settled, has enough vegetation and game to sustain life, it is a hard life, and Edom does not enjoy the heavy dews that Israel does, which sustain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FootnoteReference"/>
        </w:rPr>
        <w:footnoteReference w:id="12029"/>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w:t>
      </w:r>
      <w:hyperlink r:id="rId134468680f34b6f2e" w:history="1">
        <w:r>
          <w:rPr>
            <w:u w:val="single"/>
          </w:rPr>
          <w:t xml:space="preserve">Full-Notes</w:t>
        </w:r>
      </w:hyperlink>
      <w:r>
        <w:rPr/>
        <w:t xml:space="preserve">),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is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FootnoteReference"/>
        </w:rPr>
        <w:footnoteReference w:id="12891"/>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 It likely points to the fact that both Leah and Rachel were young. If Rachel was ten, Jacob was having her wait until she was 17, which could have been considered late for marriage in that culture. So it seems that Rachel may even have been eight or nine at the time. If Rachel was in her teens, making her wait for seven years before marriage would not have seemed right.</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 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 week.”</w:t>
      </w:r>
      <w:r>
        <w:rPr/>
        <w:t xml:space="preserve"> The Hebrew is more literally, “and fulfilled the bridal 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 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Hebrew and Greek, the word “hate” has a large range of meanings, from actual “hate” to simply loving something less than something else, neglecting or ignoring something, or being disgusted by something.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w:t>
      </w:r>
      <w:r>
        <w:rPr>
          <w:i/>
          <w:iCs/>
        </w:rPr>
        <w:t xml:space="preserve">elohim</w:t>
      </w:r>
      <w:r>
        <w:rPr/>
        <w:t xml:space="preserve"> [God].” In the biblical culture, the word </w:t>
      </w:r>
      <w:r>
        <w:rPr>
          <w:i/>
          <w:iCs/>
        </w:rPr>
        <w:t xml:space="preserve">elohim</w:t>
      </w:r>
      <w:r>
        <w:rPr/>
        <w:t xml:space="preserve">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FootnoteReference"/>
        </w:rPr>
        <w:footnoteReference w:id="26505"/>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FootnoteReference"/>
        </w:rPr>
        <w:footnoteReference w:id="29878"/>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FootnoteReference"/>
        </w:rPr>
        <w:footnoteReference w:id="17010"/>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FootnoteReference"/>
        </w:rPr>
        <w:footnoteReference w:id="20772"/>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FootnoteReference"/>
        </w:rPr>
        <w:footnoteReference w:id="1610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FootnoteReference"/>
        </w:rPr>
        <w:footnoteReference w:id="19779"/>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FootnoteReference"/>
        </w:rPr>
        <w:footnoteReference w:id="32132"/>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FootnoteReference"/>
        </w:rPr>
        <w:footnoteReference w:id="10364"/>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FootnoteReference"/>
        </w:rPr>
        <w:footnoteReference w:id="17122"/>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FootnoteReference"/>
        </w:rPr>
        <w:footnoteReference w:id="31534"/>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FootnoteReference"/>
        </w:rPr>
        <w:footnoteReference w:id="32550"/>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FootnoteReference"/>
        </w:rPr>
        <w:footnoteReference w:id="32613"/>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FootnoteReference"/>
        </w:rPr>
        <w:footnoteReference w:id="15390"/>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FootnoteReference"/>
        </w:rPr>
        <w:footnoteReference w:id="24357"/>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FootnoteReference"/>
        </w:rPr>
        <w:footnoteReference w:id="14337"/>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FootnoteReference"/>
        </w:rPr>
        <w:footnoteReference w:id="29878"/>
      </w:r>
      <w:r>
        <w:rPr/>
        <w:t xml:space="preserve"> Thus, it seems by translating the Hebrew as simply “against Israel,” the translations are not forcing a decision about whether “Israel” refers to the man or the nation. Furthermore, the man Jacob often embodied the idea of himself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FootnoteReference"/>
        </w:rPr>
        <w:footnoteReference w:id="10949"/>
      </w:r>
      <w:r>
        <w:rPr/>
        <w:t xml:space="preserve"> although perhaps it was given to the bride herself.</w:t>
      </w:r>
      <w:r>
        <w:rPr>
          <w:rStyle w:val="FootnoteReference"/>
        </w:rPr>
        <w:footnoteReference w:id="27536"/>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FootnoteReference"/>
        </w:rPr>
        <w:footnoteReference w:id="19869"/>
      </w:r>
      <w:r>
        <w:rPr/>
        <w:t xml:space="preserve"> Victor Hamilton writes that the Masoretic Hebrew text “could be translated ‘for there the gods [or angels? or divine beings?] revealed themselves to him.” </w:t>
      </w:r>
      <w:r>
        <w:rPr>
          <w:rStyle w:val="FootnoteReference"/>
        </w:rPr>
        <w:footnoteReference w:id="19634"/>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FootnoteReference"/>
        </w:rPr>
        <w:footnoteReference w:id="32372"/>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FootnoteReference"/>
        </w:rPr>
        <w:footnoteReference w:id="18119"/>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FootnoteReference"/>
        </w:rPr>
        <w:footnoteReference w:id="24409"/>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FootnoteReference"/>
        </w:rPr>
        <w:footnoteReference w:id="15969"/>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FootnoteReference"/>
        </w:rPr>
        <w:footnoteReference w:id="31458"/>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FootnoteReference"/>
        </w:rPr>
        <w:footnoteReference w:id="31261"/>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FootnoteReference"/>
        </w:rPr>
        <w:footnoteReference w:id="18342"/>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“She is in the right rather than I.”</w:t>
      </w:r>
      <w:r>
        <w:rPr/>
        <w:t xml:space="preserve"> The Hebrew construction and the context indicate that Judah was not claiming to be right here, although the Hebrew phrase can be translated in a way that implies a comparison and most English versions do that (i.e., “she is more righteous than I”). However, some versions are closer to the REV (cf. GW, NAB, NJB). The Septuagint is also similar to the translation in the REV. It seems that Judah was trying to be very honest here, and admitted that Tamar was right in doing what she did, and Judah was wrong in withholding his son from her. To properly understand this interaction, it is valuable to keep in mind that often later in a woman’s life, her best resource and help was her own children, not stepchildren. That was a major reason why being childless was considered a curse for a woman. So this whole event was more than just Judah withholding his son from Tamar; it endangered her future.</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Word Study: “Pneuma.”]</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Word Study: “Pneuma,”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FootnoteReference"/>
        </w:rPr>
        <w:footnoteReference w:id="29258"/>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FootnoteReference"/>
        </w:rPr>
        <w:footnoteReference w:id="15100"/>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“Worship” and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FootnoteReference"/>
        </w:rPr>
        <w:footnoteReference w:id="31408"/>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FootnoteReference"/>
        </w:rPr>
        <w:footnoteReference w:id="26026"/>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FootnoteReference"/>
        </w:rPr>
        <w:footnoteReference w:id="28929"/>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(BSB);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FootnoteReference"/>
        </w:rPr>
        <w:footnoteReference w:id="16242"/>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FootnoteReference"/>
        </w:rPr>
        <w:footnoteReference w:id="20124"/>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FootnoteReference"/>
        </w:rPr>
        <w:footnoteReference w:id="22899"/>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FootnoteReference"/>
        </w:rPr>
        <w:footnoteReference w:id="13608"/>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FootnoteReference"/>
        </w:rPr>
        <w:footnoteReference w:id="13330"/>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FootnoteReference"/>
        </w:rPr>
        <w:footnoteReference w:id="17943"/>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FootnoteReference"/>
        </w:rPr>
        <w:footnoteReference w:id="19892"/>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FootnoteReference"/>
        </w:rPr>
        <w:footnoteReference w:id="14164"/>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FootnoteReference"/>
        </w:rPr>
        <w:footnoteReference w:id="32271"/>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FootnoteReference"/>
        </w:rPr>
        <w:footnoteReference w:id="26434"/>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FootnoteReference"/>
        </w:rPr>
        <w:footnoteReference w:id="16950"/>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FootnoteReference"/>
        </w:rPr>
        <w:footnoteReference w:id="21600"/>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278668680f35627cb" w:history="1">
        <w:r>
          <w:rPr>
            <w:u w:val="single"/>
          </w:rPr>
          <w:t xml:space="preserve">Sarna</w:t>
        </w:r>
      </w:hyperlink>
      <w:r>
        <w:rPr/>
        <w:t xml:space="preserve"> and </w:t>
      </w:r>
      <w:hyperlink r:id="rId539068680f35627da"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343668680f338ab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0098154"/>
      <w:docPartObj>
        <w:docPartGallery w:val="Page Numbers (Bottom of Page)"/>
        <w:docPartUnique/>
      </w:docPartObj>
    </w:sdtPr>
    <w:sdtContent>
      <w:sdt>
        <w:sdtPr>
          <w:id w:val="7280092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72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43.</w:t>
              </w:r>
            </w:t>
          </w:r>
        </w:t>
      </w:r>
    </w:p>
  </w:footnote>
  <w:footnote w:id="20694">
    <w:p>
      <w:pPr>
        <w:pStyle w:val="FootnoteText"/>
      </w:pPr>
      <w:r>
        <w:rPr>
          <w:rStyle w:val="FootnoteReference"/>
        </w:rPr>
        <w:footnoteRef/>
      </w:r>
      <w:r>
        <w:t xml:space="preserve">
          <w:r>
            <w:t xml:space="preserve">
              <w:r>
                <w:t xml:space="preserve"> E. Kautzsch, ed., </w:t>
              </w:r>
              <w:r>
                <w:rPr>
                  <w:i/>
                </w:rPr>
                <w:t xml:space="preserve">Gesenius’ Hebrew Grammar</w:t>
              </w:r>
              <w:r>
                <w:t xml:space="preserve">, 399.</w:t>
              </w:r>
            </w:t>
          </w:r>
        </w:t>
      </w:r>
    </w:p>
  </w:footnote>
  <w:footnote w:id="28069">
    <w:p>
      <w:pPr>
        <w:pStyle w:val="FootnoteText"/>
      </w:pPr>
      <w:r>
        <w:rPr>
          <w:rStyle w:val="FootnoteReference"/>
        </w:rPr>
        <w:footnoteRef/>
      </w:r>
      <w:r>
        <w:t xml:space="preserve">
          <w:r>
            <w:t xml:space="preserve">
              <w:r>
                <w:t xml:space="preserve"> William Tyndale, </w:t>
              </w:r>
              <w:r>
                <w:rPr>
                  <w:i/>
                </w:rPr>
                <w:t xml:space="preserve">Tyndale’s Old Testament</w:t>
              </w:r>
              <w:r>
                <w:t xml:space="preserve">, Yale University Press, 1992, 15.</w:t>
              </w:r>
            </w:t>
          </w:r>
        </w:t>
      </w:r>
    </w:p>
  </w:footnote>
  <w:footnote w:id="27475">
    <w:p>
      <w:pPr>
        <w:pStyle w:val="FootnoteText"/>
      </w:pPr>
      <w:r>
        <w:rPr>
          <w:rStyle w:val="FootnoteReference"/>
        </w:rPr>
        <w:footnoteRef/>
      </w:r>
      <w:r>
        <w:t xml:space="preserve">
          <w:r>
            <w:t xml:space="preserve">
              <w:r>
                <w:t xml:space="preserve"> Michael Heiser, </w:t>
              </w:r>
              <w:r>
                <w:rPr>
                  <w:i/>
                </w:rPr>
                <w:t xml:space="preserve">The Unseen Realm</w:t>
              </w:r>
              <w:r>
                <w:t xml:space="preserve">, 39.</w:t>
              </w:r>
            </w:t>
          </w:r>
        </w:t>
      </w:r>
    </w:p>
  </w:footnote>
  <w:footnote w:id="24506">
    <w:p>
      <w:pPr>
        <w:pStyle w:val="FootnoteText"/>
      </w:pPr>
      <w:r>
        <w:rPr>
          <w:rStyle w:val="FootnoteReference"/>
        </w:rPr>
        <w:footnoteRef/>
      </w:r>
      <w:r>
        <w:t xml:space="preserve">
          <w:r>
            <w:t xml:space="preserve">
              <w:r>
                <w:t xml:space="preserve"> Heiser, </w:t>
              </w:r>
              <w:r>
                <w:rPr>
                  <w:i/>
                </w:rPr>
                <w:t xml:space="preserve">Unseen Realm</w:t>
              </w:r>
              <w:r>
                <w:t xml:space="preserve">, 39.</w:t>
              </w:r>
            </w:t>
          </w:r>
        </w:t>
      </w:r>
    </w:p>
  </w:footnote>
  <w:footnote w:id="19366">
    <w:p>
      <w:pPr>
        <w:pStyle w:val="FootnoteText"/>
      </w:pPr>
      <w:r>
        <w:rPr>
          <w:rStyle w:val="FootnoteReference"/>
        </w:rPr>
        <w:footnoteRef/>
      </w:r>
      <w:r>
        <w:t xml:space="preserve">
          <w:r>
            <w:t xml:space="preserve">
              <w:r>
                <w:t xml:space="preserve"> Ludwig Koehler and Walter Baumgartner, </w:t>
              </w:r>
              <w:r>
                <w:rPr>
                  <w:i/>
                </w:rPr>
                <w:t xml:space="preserve">HALOT</w:t>
              </w:r>
              <w:r>
                <w:t xml:space="preserve"> </w:t>
              </w:r>
              <w:r>
                <w:rPr>
                  <w:i/>
                </w:rPr>
                <w:t xml:space="preserve">Hebrew and Aramaic Lexicon of the Old Testament</w:t>
              </w:r>
              <w:r>
                <w:t xml:space="preserve">.</w:t>
              </w:r>
            </w:t>
          </w:r>
        </w:t>
      </w:r>
    </w:p>
  </w:footnote>
  <w:footnote w:id="20854">
    <w:p>
      <w:pPr>
        <w:pStyle w:val="FootnoteText"/>
      </w:pPr>
      <w:r>
        <w:rPr>
          <w:rStyle w:val="FootnoteReference"/>
        </w:rPr>
        <w:footnoteRef/>
      </w:r>
      <w:r>
        <w:t xml:space="preserve">
          <w:r>
            <w:t xml:space="preserve">
              <w:r>
                <w:t xml:space="preserve"> John Goldingay, </w:t>
              </w:r>
              <w:r>
                <w:rPr>
                  <w:i/>
                </w:rPr>
                <w:t xml:space="preserve">The First Testament: A New Translation</w:t>
              </w:r>
              <w:r>
                <w:t xml:space="preserve">, 3.</w:t>
              </w:r>
            </w:t>
          </w:r>
        </w:t>
      </w:r>
    </w:p>
  </w:footnote>
  <w:footnote w:id="3270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17.</w:t>
              </w:r>
            </w:t>
          </w:r>
        </w:t>
      </w:r>
    </w:p>
  </w:footnote>
  <w:footnote w:id="11665">
    <w:p>
      <w:pPr>
        <w:pStyle w:val="FootnoteText"/>
      </w:pPr>
      <w:r>
        <w:rPr>
          <w:rStyle w:val="FootnoteReference"/>
        </w:rPr>
        <w:footnoteRef/>
      </w:r>
      <w:r>
        <w:t xml:space="preserve">
          <w:r>
            <w:t xml:space="preserve">
              <w:r>
                <w:t xml:space="preserve"> Victor P. Hamilton, </w:t>
              </w:r>
              <w:r>
                <w:rPr>
                  <w:i/>
                </w:rPr>
                <w:t xml:space="preserve">Genesis: Chapters 1-17</w:t>
              </w:r>
              <w:r>
                <w:t xml:space="preserve"> [NICOT], 156.</w:t>
              </w:r>
            </w:t>
          </w:r>
        </w:t>
      </w:r>
    </w:p>
  </w:footnote>
  <w:footnote w:id="12288">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0726">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1576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0995">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2296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w:t>
              </w:r>
            </w:t>
          </w:r>
        </w:t>
      </w:r>
    </w:p>
  </w:footnote>
  <w:footnote w:id="18455">
    <w:p>
      <w:pPr>
        <w:pStyle w:val="FootnoteText"/>
      </w:pPr>
      <w:r>
        <w:rPr>
          <w:rStyle w:val="FootnoteReference"/>
        </w:rPr>
        <w:footnoteRef/>
      </w:r>
      <w:r>
        <w:t xml:space="preserve">
          <w:r>
            <w:t xml:space="preserve">
              <w:r>
                <w:t xml:space="preserve"> S. R. Driver, </w:t>
              </w:r>
              <w:r>
                <w:rPr>
                  <w:i/>
                </w:rPr>
                <w:t xml:space="preserve">The Book of Genesis</w:t>
              </w:r>
              <w:r>
                <w:t xml:space="preserve">, Westminster Commentaries, 2nd ed., 41.</w:t>
              </w:r>
            </w:t>
          </w:r>
        </w:t>
      </w:r>
    </w:p>
  </w:footnote>
  <w:footnote w:id="28224">
    <w:p>
      <w:pPr>
        <w:pStyle w:val="FootnoteText"/>
      </w:pPr>
      <w:r>
        <w:rPr>
          <w:rStyle w:val="FootnoteReference"/>
        </w:rPr>
        <w:footnoteRef/>
      </w:r>
      <w:r>
        <w:t xml:space="preserve">
          <w:r>
            <w:t xml:space="preserve">
              <w:r>
                <w:t xml:space="preserve"> Cf. Bullinger, </w:t>
              </w:r>
              <w:r>
                <w:rPr>
                  <w:i/>
                </w:rPr>
                <w:t xml:space="preserve">Companion Bible</w:t>
              </w:r>
              <w:r>
                <w:t xml:space="preserve">, Appendix 19, “The ‘Serpent’ of Genesis 3.”</w:t>
              </w:r>
            </w:t>
          </w:r>
        </w:t>
      </w:r>
    </w:p>
  </w:footnote>
  <w:footnote w:id="32705">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27245">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6306">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197.</w:t>
              </w:r>
            </w:t>
          </w:r>
        </w:t>
      </w:r>
    </w:p>
  </w:footnote>
  <w:footnote w:id="14210">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103 (emphasis original).</w:t>
              </w:r>
            </w:t>
          </w:r>
        </w:t>
      </w:r>
    </w:p>
  </w:footnote>
  <w:footnote w:id="10497">
    <w:p>
      <w:pPr>
        <w:pStyle w:val="FootnoteText"/>
      </w:pPr>
      <w:r>
        <w:rPr>
          <w:rStyle w:val="FootnoteReference"/>
        </w:rPr>
        <w:footnoteRef/>
      </w:r>
      <w:r>
        <w:t xml:space="preserve">
          <w:r>
            <w:t xml:space="preserve">
              <w:r>
                <w:t xml:space="preserve"> Susan T. Foh, “What is the Woman’s Desire?” </w:t>
              </w:r>
              <w:r>
                <w:rPr>
                  <w:i/>
                </w:rPr>
                <w:t xml:space="preserve">Westminster Theological Journal</w:t>
              </w:r>
              <w:r>
                <w:t xml:space="preserve"> 37 (1975): 376-83.</w:t>
              </w:r>
            </w:t>
          </w:r>
        </w:t>
      </w:r>
    </w:p>
  </w:footnote>
  <w:footnote w:id="24410">
    <w:p>
      <w:pPr>
        <w:pStyle w:val="FootnoteText"/>
      </w:pPr>
      <w:r>
        <w:rPr>
          <w:rStyle w:val="FootnoteReference"/>
        </w:rPr>
        <w:footnoteRef/>
      </w:r>
      <w:r>
        <w:t xml:space="preserve">
          <w:r>
            <w:t xml:space="preserve">
              <w:r>
                <w:t xml:space="preserve"> Bullinger, </w:t>
              </w:r>
              <w:r>
                <w:rPr>
                  <w:i/>
                </w:rPr>
                <w:t xml:space="preserve">Companion Bible</w:t>
              </w:r>
              <w:r>
                <w:t xml:space="preserve">, 8.</w:t>
              </w:r>
            </w:t>
          </w:r>
        </w:t>
      </w:r>
    </w:p>
  </w:footnote>
  <w:footnote w:id="32236">
    <w:p>
      <w:pPr>
        <w:pStyle w:val="FootnoteText"/>
      </w:pPr>
      <w:r>
        <w:rPr>
          <w:rStyle w:val="FootnoteReference"/>
        </w:rPr>
        <w:footnoteRef/>
      </w:r>
      <w:r>
        <w:t xml:space="preserve">
          <w:r>
            <w:t xml:space="preserve">
              <w:r>
                <w:t xml:space="preserve"> BDB, s.v. “יָטַב”</w:t>
              </w:r>
            </w:t>
          </w:r>
        </w:t>
      </w:r>
    </w:p>
  </w:footnote>
  <w:footnote w:id="23343">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23903">
    <w:p>
      <w:pPr>
        <w:pStyle w:val="FootnoteText"/>
      </w:pPr>
      <w:r>
        <w:rPr>
          <w:rStyle w:val="FootnoteReference"/>
        </w:rPr>
        <w:footnoteRef/>
      </w:r>
      <w:r>
        <w:t xml:space="preserve">
          <w:r>
            <w:t xml:space="preserve">
              <w:r>
                <w:t xml:space="preserve"> Bullinger, </w:t>
              </w:r>
              <w:r>
                <w:rPr>
                  <w:i/>
                </w:rPr>
                <w:t xml:space="preserve">Companion Bible</w:t>
              </w:r>
              <w:r>
                <w:t xml:space="preserve">, 9n13.</w:t>
              </w:r>
            </w:t>
          </w:r>
        </w:t>
      </w:r>
    </w:p>
  </w:footnote>
  <w:footnote w:id="17104">
    <w:p>
      <w:pPr>
        <w:pStyle w:val="FootnoteText"/>
      </w:pPr>
      <w:r>
        <w:rPr>
          <w:rStyle w:val="FootnoteReference"/>
        </w:rPr>
        <w:footnoteRef/>
      </w:r>
      <w:r>
        <w:t xml:space="preserve">
          <w:r>
            <w:t xml:space="preserve">
              <w:r>
                <w:t xml:space="preserve"> Lamsa, </w:t>
              </w:r>
              <w:r>
                <w:rPr>
                  <w:i/>
                </w:rPr>
                <w:t xml:space="preserve">The Holy Bible from Ancient Eastern Manuscripts</w:t>
              </w:r>
              <w:r>
                <w:t xml:space="preserve">.</w:t>
              </w:r>
            </w:t>
          </w:r>
        </w:t>
      </w:r>
    </w:p>
  </w:footnote>
  <w:footnote w:id="25892">
    <w:p>
      <w:pPr>
        <w:pStyle w:val="FootnoteText"/>
      </w:pPr>
      <w:r>
        <w:rPr>
          <w:rStyle w:val="FootnoteReference"/>
        </w:rPr>
        <w:footnoteRef/>
      </w:r>
      <w:r>
        <w:t xml:space="preserve">
          <w:r>
            <w:t xml:space="preserve">
              <w:r>
                <w:t xml:space="preserve"> Lancelot L. Brenton, </w:t>
              </w:r>
              <w:r>
                <w:rPr>
                  <w:i/>
                </w:rPr>
                <w:t xml:space="preserve">The Septuagint Version of the Old Testament</w:t>
              </w:r>
              <w:r>
                <w:t xml:space="preserve">, Gen. 4:13.</w:t>
              </w:r>
            </w:t>
          </w:r>
        </w:t>
      </w:r>
    </w:p>
  </w:footnote>
  <w:footnote w:id="16429">
    <w:p>
      <w:pPr>
        <w:pStyle w:val="FootnoteText"/>
      </w:pPr>
      <w:r>
        <w:rPr>
          <w:rStyle w:val="FootnoteReference"/>
        </w:rPr>
        <w:footnoteRef/>
      </w:r>
      <w:r>
        <w:t xml:space="preserve">
          <w:r>
            <w:t xml:space="preserve">
              <w:r>
                <w:t xml:space="preserve"> The Holy Bible: 1611 Edition, Thomas Nelson Publishers, Nashville, TN.</w:t>
              </w:r>
            </w:t>
          </w:r>
        </w:t>
      </w:r>
    </w:p>
  </w:footnote>
  <w:footnote w:id="1229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w:t>
              </w:r>
            </w:t>
          </w:r>
        </w:t>
      </w:r>
    </w:p>
  </w:footnote>
  <w:footnote w:id="17940">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35.</w:t>
              </w:r>
            </w:t>
          </w:r>
        </w:t>
      </w:r>
    </w:p>
  </w:footnote>
  <w:footnote w:id="32211">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172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37.</w:t>
              </w:r>
            </w:t>
          </w:r>
        </w:t>
      </w:r>
    </w:p>
  </w:footnote>
  <w:footnote w:id="28196">
    <w:p>
      <w:pPr>
        <w:pStyle w:val="FootnoteText"/>
      </w:pPr>
      <w:r>
        <w:rPr>
          <w:rStyle w:val="FootnoteReference"/>
        </w:rPr>
        <w:footnoteRef/>
      </w:r>
      <w:r>
        <w:t xml:space="preserve">
          <w:r>
            <w:t xml:space="preserve">
              <w:r>
                <w:t xml:space="preserve"> Freeman, </w:t>
              </w:r>
              <w:r>
                <w:rPr>
                  <w:i/>
                </w:rPr>
                <w:t xml:space="preserve">Manners and Customs of the Bible</w:t>
              </w:r>
              <w:r>
                <w:t xml:space="preserve">, #1.</w:t>
              </w:r>
            </w:t>
          </w:r>
        </w:t>
      </w:r>
    </w:p>
  </w:footnote>
  <w:footnote w:id="32292">
    <w:p>
      <w:pPr>
        <w:pStyle w:val="FootnoteText"/>
      </w:pPr>
      <w:r>
        <w:rPr>
          <w:rStyle w:val="FootnoteReference"/>
        </w:rPr>
        <w:footnoteRef/>
      </w:r>
      <w:r>
        <w:t xml:space="preserve">
          <w:r>
            <w:t xml:space="preserve">
              <w:r>
                <w:t xml:space="preserve"> Victor Hamilton, The Book of Genesis, Chapters 1-17, NICOT, p. 243.</w:t>
              </w:r>
            </w:t>
          </w:r>
        </w:t>
      </w:r>
    </w:p>
  </w:footnote>
  <w:footnote w:id="18726">
    <w:p>
      <w:pPr>
        <w:pStyle w:val="FootnoteText"/>
      </w:pPr>
      <w:r>
        <w:rPr>
          <w:rStyle w:val="FootnoteReference"/>
        </w:rPr>
        <w:footnoteRef/>
      </w:r>
      <w:r>
        <w:t xml:space="preserve">
          <w:r>
            <w:t xml:space="preserve">
              <w:r>
                <w:t xml:space="preserve"> Rabbi Rashi. From the website Chabad.org. The Complete Jewish Bible with Rashi Commentary. Accessed 3/31/2023</w:t>
              </w:r>
            </w:t>
          </w:r>
        </w:t>
      </w:r>
    </w:p>
  </w:footnote>
  <w:footnote w:id="25461">
    <w:p>
      <w:pPr>
        <w:pStyle w:val="FootnoteText"/>
      </w:pPr>
      <w:r>
        <w:rPr>
          <w:rStyle w:val="FootnoteReference"/>
        </w:rPr>
        <w:footnoteRef/>
      </w:r>
      <w:r>
        <w:t xml:space="preserve">
          <w:r>
            <w:t xml:space="preserve">
              <w:r>
                <w:t xml:space="preserve"> Kenneth Matthews, The New American Commentary: Genesis 1:1-11:26, p. 292</w:t>
              </w:r>
            </w:t>
          </w:r>
        </w:t>
      </w:r>
    </w:p>
  </w:footnote>
  <w:footnote w:id="16272">
    <w:p>
      <w:pPr>
        <w:pStyle w:val="FootnoteText"/>
      </w:pPr>
      <w:r>
        <w:rPr>
          <w:rStyle w:val="FootnoteReference"/>
        </w:rPr>
        <w:footnoteRef/>
      </w:r>
      <w:r>
        <w:t xml:space="preserve">
          <w:r>
            <w:t xml:space="preserve">
              <w:r>
                <w:t xml:space="preserve"> Gordon Wenham, </w:t>
              </w:r>
              <w:r>
                <w:rPr>
                  <w:i/>
                </w:rPr>
                <w:t xml:space="preserve">Genesis 1-15</w:t>
              </w:r>
              <w:r>
                <w:t xml:space="preserve"> [WBC], 128.</w:t>
              </w:r>
            </w:t>
          </w:r>
        </w:t>
      </w:r>
    </w:p>
  </w:footnote>
  <w:footnote w:id="26231">
    <w:p>
      <w:pPr>
        <w:pStyle w:val="FootnoteText"/>
      </w:pPr>
      <w:r>
        <w:rPr>
          <w:rStyle w:val="FootnoteReference"/>
        </w:rPr>
        <w:footnoteRef/>
      </w:r>
      <w:r>
        <w:t xml:space="preserve">
          <w:r>
            <w:t xml:space="preserve">
              <w:r>
                <w:t xml:space="preserve"> Bruce Waltke, </w:t>
              </w:r>
              <w:r>
                <w:rPr>
                  <w:i/>
                </w:rPr>
                <w:t xml:space="preserve">Genesis: A Commentary</w:t>
              </w:r>
              <w:r>
                <w:t xml:space="preserve">, 115.</w:t>
              </w:r>
            </w:t>
          </w:r>
        </w:t>
      </w:r>
    </w:p>
  </w:footnote>
  <w:footnote w:id="28636">
    <w:p>
      <w:pPr>
        <w:pStyle w:val="FootnoteText"/>
      </w:pPr>
      <w:r>
        <w:rPr>
          <w:rStyle w:val="FootnoteReference"/>
        </w:rPr>
        <w:footnoteRef/>
      </w:r>
      <w:r>
        <w:t xml:space="preserve">
          <w:r>
            <w:t xml:space="preserve">
              <w:r>
                <w:t xml:space="preserve"> Kenneth Matthews, </w:t>
              </w:r>
              <w:r>
                <w:rPr>
                  <w:i/>
                </w:rPr>
                <w:t xml:space="preserve">Genesis 1-11:26</w:t>
              </w:r>
              <w:r>
                <w:t xml:space="preserve"> [NAC], 1A:314.</w:t>
              </w:r>
            </w:t>
          </w:r>
        </w:t>
      </w:r>
    </w:p>
  </w:footnote>
  <w:footnote w:id="19236">
    <w:p>
      <w:pPr>
        <w:pStyle w:val="FootnoteText"/>
      </w:pPr>
      <w:r>
        <w:rPr>
          <w:rStyle w:val="FootnoteReference"/>
        </w:rPr>
        <w:footnoteRef/>
      </w:r>
      <w:r>
        <w:t xml:space="preserve">
          <w:r>
            <w:t xml:space="preserve">
              <w:r>
                <w:t xml:space="preserve"> Henry Morris, </w:t>
              </w:r>
              <w:r>
                <w:rPr>
                  <w:i/>
                </w:rPr>
                <w:t xml:space="preserve">The Genesis Record</w:t>
              </w:r>
              <w:r>
                <w:t xml:space="preserve">, 166.</w:t>
              </w:r>
            </w:t>
          </w:r>
        </w:t>
      </w:r>
    </w:p>
  </w:footnote>
  <w:footnote w:id="10831">
    <w:p>
      <w:pPr>
        <w:pStyle w:val="FootnoteText"/>
      </w:pPr>
      <w:r>
        <w:rPr>
          <w:rStyle w:val="FootnoteReference"/>
        </w:rPr>
        <w:footnoteRef/>
      </w:r>
      <w:r>
        <w:t xml:space="preserve">
          <w:r>
            <w:t xml:space="preserve">
              <w:r>
                <w:t xml:space="preserve"> Bullinger, </w:t>
              </w:r>
              <w:r>
                <w:rPr>
                  <w:i/>
                </w:rPr>
                <w:t xml:space="preserve">Companion Bible</w:t>
              </w:r>
              <w:r>
                <w:t xml:space="preserve">, Deuteronomy 2:20n, “noisy ones.”</w:t>
              </w:r>
            </w:t>
          </w:r>
        </w:t>
      </w:r>
    </w:p>
  </w:footnote>
  <w:footnote w:id="19428">
    <w:p>
      <w:pPr>
        <w:pStyle w:val="FootnoteText"/>
      </w:pPr>
      <w:r>
        <w:rPr>
          <w:rStyle w:val="FootnoteReference"/>
        </w:rPr>
        <w:footnoteRef/>
      </w:r>
      <w:r>
        <w:t xml:space="preserve">
          <w:r>
            <w:t xml:space="preserve">
              <w:r>
                <w:t xml:space="preserve"> John Goldingay, </w:t>
              </w:r>
              <w:r>
                <w:rPr>
                  <w:i/>
                </w:rPr>
                <w:t xml:space="preserve">The First Testament</w:t>
              </w:r>
              <w:r>
                <w:t xml:space="preserve">, 6.</w:t>
              </w:r>
            </w:t>
          </w:r>
        </w:t>
      </w:r>
    </w:p>
  </w:footnote>
  <w:footnote w:id="31600">
    <w:p>
      <w:pPr>
        <w:pStyle w:val="FootnoteText"/>
      </w:pPr>
      <w:r>
        <w:rPr>
          <w:rStyle w:val="FootnoteReference"/>
        </w:rPr>
        <w:footnoteRef/>
      </w:r>
      <w:r>
        <w:t xml:space="preserve">
          <w:r>
            <w:t xml:space="preserve">
              <w:r>
                <w:t xml:space="preserve"> Gordon J. Wenham, </w:t>
              </w:r>
              <w:r>
                <w:rPr>
                  <w:i/>
                </w:rPr>
                <w:t xml:space="preserve">Genesis 1-15</w:t>
              </w:r>
              <w:r>
                <w:t xml:space="preserve"> [WBC], 149.</w:t>
              </w:r>
            </w:t>
          </w:r>
        </w:t>
      </w:r>
    </w:p>
  </w:footnote>
  <w:footnote w:id="25702">
    <w:p>
      <w:pPr>
        <w:pStyle w:val="FootnoteText"/>
      </w:pPr>
      <w:r>
        <w:rPr>
          <w:rStyle w:val="FootnoteReference"/>
        </w:rPr>
        <w:footnoteRef/>
      </w:r>
      <w:r>
        <w:t xml:space="preserve">
          <w:r>
            <w:t xml:space="preserve">
              <w:r>
                <w:t xml:space="preserve"> Bullinger, </w:t>
              </w:r>
              <w:r>
                <w:rPr>
                  <w:i/>
                </w:rPr>
                <w:t xml:space="preserve">Figures of Speech</w:t>
              </w:r>
              <w:r>
                <w:t xml:space="preserve">, 189, 491, “epizeuxis”; </w:t>
              </w:r>
              <w:r>
                <w:rPr>
                  <w:i/>
                </w:rPr>
                <w:t xml:space="preserve">Oxford English Dictionary</w:t>
              </w:r>
              <w:r>
                <w:t xml:space="preserve">.</w:t>
              </w:r>
            </w:t>
          </w:r>
        </w:t>
      </w:r>
    </w:p>
  </w:footnote>
  <w:footnote w:id="13615">
    <w:p>
      <w:pPr>
        <w:pStyle w:val="FootnoteText"/>
      </w:pPr>
      <w:r>
        <w:rPr>
          <w:rStyle w:val="FootnoteReference"/>
        </w:rPr>
        <w:footnoteRef/>
      </w:r>
      <w:r>
        <w:t xml:space="preserve">
          <w:r>
            <w:t xml:space="preserve">
              <w:r>
                <w:t xml:space="preserve"> A. J. Rosenberg, </w:t>
              </w:r>
              <w:r>
                <w:rPr>
                  <w:i/>
                </w:rPr>
                <w:t xml:space="preserve">The Book of Genesis</w:t>
              </w:r>
              <w:r>
                <w:t xml:space="preserve">, Books of the Bible Series.</w:t>
              </w:r>
            </w:t>
          </w:r>
        </w:t>
      </w:r>
    </w:p>
  </w:footnote>
  <w:footnote w:id="1150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3573">
    <w:p>
      <w:pPr>
        <w:pStyle w:val="FootnoteText"/>
      </w:pPr>
      <w:r>
        <w:rPr>
          <w:rStyle w:val="FootnoteReference"/>
        </w:rPr>
        <w:footnoteRef/>
      </w:r>
      <w:r>
        <w:t xml:space="preserve">
          <w:r>
            <w:t xml:space="preserve">
              <w:r>
                <w:t xml:space="preserve"> Fausset’s Bible Dictionary, s.v. “Nimrod,” 510.</w:t>
              </w:r>
            </w:t>
          </w:r>
        </w:t>
      </w:r>
    </w:p>
  </w:footnote>
  <w:footnote w:id="10978">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21330">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1:105.</w:t>
              </w:r>
            </w:t>
          </w:r>
        </w:t>
      </w:r>
    </w:p>
  </w:footnote>
  <w:footnote w:id="26867">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p. 106</w:t>
              </w:r>
            </w:t>
          </w:r>
        </w:t>
      </w:r>
    </w:p>
  </w:footnote>
  <w:footnote w:id="14107">
    <w:p>
      <w:pPr>
        <w:pStyle w:val="FootnoteText"/>
      </w:pPr>
      <w:r>
        <w:rPr>
          <w:rStyle w:val="FootnoteReference"/>
        </w:rPr>
        <w:footnoteRef/>
      </w:r>
      <w:r>
        <w:t xml:space="preserve">
          <w:r>
            <w:t xml:space="preserve">
              <w:r>
                <w:t xml:space="preserve"> Martin Anstey, </w:t>
              </w:r>
              <w:r>
                <w:rPr>
                  <w:i/>
                </w:rPr>
                <w:t xml:space="preserve">Chronology of the Old Testament</w:t>
              </w:r>
              <w:r>
                <w:t xml:space="preserve">, 36.</w:t>
              </w:r>
            </w:t>
          </w:r>
        </w:t>
      </w:r>
    </w:p>
  </w:footnote>
  <w:footnote w:id="14865">
    <w:p>
      <w:pPr>
        <w:pStyle w:val="FootnoteText"/>
      </w:pPr>
      <w:r>
        <w:rPr>
          <w:rStyle w:val="FootnoteReference"/>
        </w:rPr>
        <w:footnoteRef/>
      </w:r>
      <w:r>
        <w:t xml:space="preserve">
          <w:r>
            <w:t xml:space="preserve">
              <w:r>
                <w:t xml:space="preserve"> See William Schlegel, </w:t>
              </w:r>
              <w:r>
                <w:rPr>
                  <w:i/>
                </w:rPr>
                <w:t xml:space="preserve">Satellite Bible Atlas: Historical Geography of the Bible</w:t>
              </w:r>
              <w:r>
                <w:t xml:space="preserve">, map 2-1.</w:t>
              </w:r>
            </w:t>
          </w:r>
        </w:t>
      </w:r>
    </w:p>
  </w:footnote>
  <w:footnote w:id="18598">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364-365.</w:t>
              </w:r>
            </w:t>
          </w:r>
        </w:t>
      </w:r>
    </w:p>
  </w:footnote>
  <w:footnote w:id="2652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259">
    <w:p>
      <w:pPr>
        <w:pStyle w:val="FootnoteText"/>
      </w:pPr>
      <w:r>
        <w:rPr>
          <w:rStyle w:val="FootnoteReference"/>
        </w:rPr>
        <w:footnoteRef/>
      </w:r>
      <w:r>
        <w:t xml:space="preserve">
          <w:r>
            <w:t xml:space="preserve">
              <w:r>
                <w:t xml:space="preserve"> Keil and Delitzsch, Commentary on the Old Testament, 125.</w:t>
              </w:r>
            </w:t>
          </w:r>
        </w:t>
      </w:r>
    </w:p>
  </w:footnote>
  <w:footnote w:id="24986">
    <w:p>
      <w:pPr>
        <w:pStyle w:val="FootnoteText"/>
      </w:pPr>
      <w:r>
        <w:rPr>
          <w:rStyle w:val="FootnoteReference"/>
        </w:rPr>
        <w:footnoteRef/>
      </w:r>
      <w:r>
        <w:t xml:space="preserve">
          <w:r>
            <w:t xml:space="preserve">
              <w:r>
                <w:t xml:space="preserve"> Bullinger, </w:t>
              </w:r>
              <w:r>
                <w:rPr>
                  <w:i/>
                </w:rPr>
                <w:t xml:space="preserve">Companion Bible</w:t>
              </w:r>
              <w:r>
                <w:t xml:space="preserve">, note on Gen. 12:6, 18.</w:t>
              </w:r>
            </w:t>
          </w:r>
        </w:t>
      </w:r>
    </w:p>
  </w:footnote>
  <w:footnote w:id="32672">
    <w:p>
      <w:pPr>
        <w:pStyle w:val="FootnoteText"/>
      </w:pPr>
      <w:r>
        <w:rPr>
          <w:rStyle w:val="FootnoteReference"/>
        </w:rPr>
        <w:footnoteRef/>
      </w:r>
      <w:r>
        <w:t xml:space="preserve">
          <w:r>
            <w:t xml:space="preserve">
              <w:r>
                <w:t xml:space="preserve"> E. A. Speiser, </w:t>
              </w:r>
              <w:r>
                <w:rPr>
                  <w:i/>
                </w:rPr>
                <w:t xml:space="preserve">Genesis</w:t>
              </w:r>
              <w:r>
                <w:t xml:space="preserve">, 3rd ed. [AB], 96.</w:t>
              </w:r>
            </w:t>
          </w:r>
        </w:t>
      </w:r>
    </w:p>
  </w:footnote>
  <w:footnote w:id="14246">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400.</w:t>
              </w:r>
            </w:t>
          </w:r>
        </w:t>
      </w:r>
    </w:p>
  </w:footnote>
  <w:footnote w:id="13304">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18635">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20951">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 NICOT], 402.</w:t>
              </w:r>
            </w:t>
          </w:r>
        </w:t>
      </w:r>
    </w:p>
  </w:footnote>
  <w:footnote w:id="18981">
    <w:p>
      <w:pPr>
        <w:pStyle w:val="FootnoteText"/>
      </w:pPr>
      <w:r>
        <w:rPr>
          <w:rStyle w:val="FootnoteReference"/>
        </w:rPr>
        <w:footnoteRef/>
      </w:r>
      <w:r>
        <w:t xml:space="preserve">
          <w:r>
            <w:t xml:space="preserve">
              <w:r>
                <w:t xml:space="preserve"> Nelson Glueck, </w:t>
              </w:r>
              <w:r>
                <w:rPr>
                  <w:i/>
                </w:rPr>
                <w:t xml:space="preserve">Rivers in the Desert</w:t>
              </w:r>
              <w:r>
                <w:t xml:space="preserve">, [JPS], 11.</w:t>
              </w:r>
            </w:t>
          </w:r>
        </w:t>
      </w:r>
    </w:p>
  </w:footnote>
  <w:footnote w:id="29295">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397.</w:t>
              </w:r>
            </w:t>
          </w:r>
        </w:t>
      </w:r>
    </w:p>
  </w:footnote>
  <w:footnote w:id="10232">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403.</w:t>
              </w:r>
            </w:t>
          </w:r>
        </w:t>
      </w:r>
    </w:p>
  </w:footnote>
  <w:footnote w:id="18949">
    <w:p>
      <w:pPr>
        <w:pStyle w:val="FootnoteText"/>
      </w:pPr>
      <w:r>
        <w:rPr>
          <w:rStyle w:val="FootnoteReference"/>
        </w:rPr>
        <w:footnoteRef/>
      </w:r>
      <w:r>
        <w:t xml:space="preserve">
          <w:r>
            <w:t xml:space="preserve">
              <w:r>
                <w:t xml:space="preserve"> E. A. Speiser, </w:t>
              </w:r>
              <w:r>
                <w:rPr>
                  <w:i/>
                </w:rPr>
                <w:t xml:space="preserve">Genesis</w:t>
              </w:r>
              <w:r>
                <w:t xml:space="preserve"> [AB], 99.</w:t>
              </w:r>
            </w:t>
          </w:r>
        </w:t>
      </w:r>
    </w:p>
  </w:footnote>
  <w:footnote w:id="22293">
    <w:p>
      <w:pPr>
        <w:pStyle w:val="FootnoteText"/>
      </w:pPr>
      <w:r>
        <w:rPr>
          <w:rStyle w:val="FootnoteReference"/>
        </w:rPr>
        <w:footnoteRef/>
      </w:r>
      <w:r>
        <w:t xml:space="preserve">
          <w:r>
            <w:t xml:space="preserve">
              <w:r>
                <w:t xml:space="preserve"> Speiser, </w:t>
              </w:r>
              <w:r>
                <w:rPr>
                  <w:i/>
                </w:rPr>
                <w:t xml:space="preserve">Genesis</w:t>
              </w:r>
              <w:r>
                <w:t xml:space="preserve"> [AB], 103 (Speiser uses Roman numerals; the REV commentary converts these to Arabic numbers).</w:t>
              </w:r>
            </w:t>
          </w:r>
        </w:t>
      </w:r>
    </w:p>
  </w:footnote>
  <w:footnote w:id="1179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107 (note that Sarna uses an “f” while Speiser uses a “p.” Hebrew systems of transliteration differ).</w:t>
              </w:r>
            </w:t>
          </w:r>
        </w:t>
      </w:r>
    </w:p>
  </w:footnote>
  <w:footnote w:id="14947">
    <w:p>
      <w:pPr>
        <w:pStyle w:val="FootnoteText"/>
      </w:pPr>
      <w:r>
        <w:rPr>
          <w:rStyle w:val="FootnoteReference"/>
        </w:rPr>
        <w:footnoteRef/>
      </w:r>
      <w:r>
        <w:t xml:space="preserve">
          <w:r>
            <w:t xml:space="preserve">
              <w:r>
                <w:t xml:space="preserve"> Henry Morris, </w:t>
              </w:r>
              <w:r>
                <w:rPr>
                  <w:i/>
                </w:rPr>
                <w:t xml:space="preserve">The Genesis Record</w:t>
              </w:r>
              <w:r>
                <w:t xml:space="preserve">, 315.</w:t>
              </w:r>
            </w:t>
          </w:r>
        </w:t>
      </w:r>
    </w:p>
  </w:footnote>
  <w:footnote w:id="20759">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1919">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112-113.</w:t>
              </w:r>
            </w:t>
          </w:r>
        </w:t>
      </w:r>
    </w:p>
  </w:footnote>
  <w:footnote w:id="2526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136.</w:t>
              </w:r>
            </w:t>
          </w:r>
        </w:t>
      </w:r>
    </w:p>
  </w:footnote>
  <w:footnote w:id="15959">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434.</w:t>
              </w:r>
            </w:t>
          </w:r>
        </w:t>
      </w:r>
    </w:p>
  </w:footnote>
  <w:footnote w:id="17207">
    <w:p>
      <w:pPr>
        <w:pStyle w:val="FootnoteText"/>
      </w:pPr>
      <w:r>
        <w:rPr>
          <w:rStyle w:val="FootnoteReference"/>
        </w:rPr>
        <w:footnoteRef/>
      </w:r>
      <w:r>
        <w:t xml:space="preserve">
          <w:r>
            <w:t xml:space="preserve">
              <w:r>
                <w:t xml:space="preserve"> C. F. Keil, </w:t>
              </w:r>
              <w:r>
                <w:rPr>
                  <w:i/>
                </w:rPr>
                <w:t xml:space="preserve">Keil and Delitzsch Commentary on the Old Testament</w:t>
              </w:r>
              <w:r>
                <w:t xml:space="preserve">, 1:138.</w:t>
              </w:r>
            </w:t>
          </w:r>
        </w:t>
      </w:r>
    </w:p>
  </w:footnote>
  <w:footnote w:id="23642">
    <w:p>
      <w:pPr>
        <w:pStyle w:val="FootnoteText"/>
      </w:pPr>
      <w:r>
        <w:rPr>
          <w:rStyle w:val="FootnoteReference"/>
        </w:rPr>
        <w:footnoteRef/>
      </w:r>
      <w:r>
        <w:t xml:space="preserve">
          <w:r>
            <w:t xml:space="preserve">
              <w:r>
                <w:t xml:space="preserve"> See text note in Fox, </w:t>
              </w:r>
              <w:r>
                <w:rPr>
                  <w:i/>
                </w:rPr>
                <w:t xml:space="preserve">The Schocken Bible</w:t>
              </w:r>
              <w:r>
                <w:t xml:space="preserve">.</w:t>
              </w:r>
            </w:t>
          </w:r>
        </w:t>
      </w:r>
    </w:p>
  </w:footnote>
  <w:footnote w:id="29349">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1:138.</w:t>
              </w:r>
            </w:t>
          </w:r>
        </w:t>
      </w:r>
    </w:p>
  </w:footnote>
  <w:footnote w:id="28533">
    <w:p>
      <w:pPr>
        <w:pStyle w:val="FootnoteText"/>
      </w:pPr>
      <w:r>
        <w:rPr>
          <w:rStyle w:val="FootnoteReference"/>
        </w:rPr>
        <w:footnoteRef/>
      </w:r>
      <w:r>
        <w:t xml:space="preserve">
          <w:r>
            <w:t xml:space="preserve">
              <w:r>
                <w:t xml:space="preserve"> Nahum Sarna, The JPS Torah Commentary, 117.</w:t>
              </w:r>
            </w:t>
          </w:r>
        </w:t>
      </w:r>
    </w:p>
  </w:footnote>
  <w:footnote w:id="27596">
    <w:p>
      <w:pPr>
        <w:pStyle w:val="FootnoteText"/>
      </w:pPr>
      <w:r>
        <w:rPr>
          <w:rStyle w:val="FootnoteReference"/>
        </w:rPr>
        <w:footnoteRef/>
      </w:r>
      <w:r>
        <w:t xml:space="preserve">
          <w:r>
            <w:t xml:space="preserve">
              <w:r>
                <w:t xml:space="preserve"> See Nahum M. Sarna, </w:t>
              </w:r>
              <w:r>
                <w:rPr>
                  <w:i/>
                </w:rPr>
                <w:t xml:space="preserve">The JPS Torah Commentary: Genesis</w:t>
              </w:r>
              <w:r>
                <w:t xml:space="preserve">, 115.</w:t>
              </w:r>
            </w:t>
          </w:r>
        </w:t>
      </w:r>
    </w:p>
  </w:footnote>
  <w:footnote w:id="31037">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26581">
    <w:p>
      <w:pPr>
        <w:pStyle w:val="FootnoteText"/>
      </w:pPr>
      <w:r>
        <w:rPr>
          <w:rStyle w:val="FootnoteReference"/>
        </w:rPr>
        <w:footnoteRef/>
      </w:r>
      <w:r>
        <w:t xml:space="preserve">
          <w:r>
            <w:t xml:space="preserve">
              <w:r>
                <w:t xml:space="preserve"> Cf. Jonathan Sacks, ed., </w:t>
              </w:r>
              <w:r>
                <w:rPr>
                  <w:i/>
                </w:rPr>
                <w:t xml:space="preserve">The Koren Tanakh</w:t>
              </w:r>
              <w:r>
                <w:t xml:space="preserve">.</w:t>
              </w:r>
            </w:t>
          </w:r>
        </w:t>
      </w:r>
    </w:p>
  </w:footnote>
  <w:footnote w:id="29895">
    <w:p>
      <w:pPr>
        <w:pStyle w:val="FootnoteText"/>
      </w:pPr>
      <w:r>
        <w:rPr>
          <w:rStyle w:val="FootnoteReference"/>
        </w:rPr>
        <w:footnoteRef/>
      </w:r>
      <w:r>
        <w:t xml:space="preserve">
          <w:r>
            <w:t xml:space="preserve">
              <w:r>
                <w:t xml:space="preserve"> R. J. Zwi Werblowsky and Geoffrey Wigoder, </w:t>
              </w:r>
              <w:r>
                <w:rPr>
                  <w:i/>
                </w:rPr>
                <w:t xml:space="preserve">Encyclopedia of the Jewish Religion</w:t>
              </w:r>
              <w:r>
                <w:t xml:space="preserve">, 15.</w:t>
              </w:r>
            </w:t>
          </w:r>
        </w:t>
      </w:r>
    </w:p>
  </w:footnote>
  <w:footnote w:id="16663">
    <w:p>
      <w:pPr>
        <w:pStyle w:val="FootnoteText"/>
      </w:pPr>
      <w:r>
        <w:rPr>
          <w:rStyle w:val="FootnoteReference"/>
        </w:rPr>
        <w:footnoteRef/>
      </w:r>
      <w:r>
        <w:t xml:space="preserve">
          <w:r>
            <w:t xml:space="preserve">
              <w:r>
                <w:t xml:space="preserve"> Katherine Doob Sakenfeld, gen. ed., </w:t>
              </w:r>
              <w:r>
                <w:rPr>
                  <w:i/>
                </w:rPr>
                <w:t xml:space="preserve">The New Interpreter’s Dictionary of the Bible</w:t>
              </w:r>
              <w:r>
                <w:t xml:space="preserve">, 2:592.</w:t>
              </w:r>
            </w:t>
          </w:r>
        </w:t>
      </w:r>
    </w:p>
  </w:footnote>
  <w:footnote w:id="2892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t>
          </w:r>
        </w:t>
      </w:r>
    </w:p>
  </w:footnote>
  <w:footnote w:id="2056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384-385.</w:t>
              </w:r>
            </w:t>
          </w:r>
        </w:t>
      </w:r>
    </w:p>
  </w:footnote>
  <w:footnote w:id="30009">
    <w:p>
      <w:pPr>
        <w:pStyle w:val="FootnoteText"/>
      </w:pPr>
      <w:r>
        <w:rPr>
          <w:rStyle w:val="FootnoteReference"/>
        </w:rPr>
        <w:footnoteRef/>
      </w:r>
      <w:r>
        <w:t xml:space="preserve">
          <w:r>
            <w:t xml:space="preserve">
              <w:r>
                <w:t xml:space="preserve"> Claus Westermann, </w:t>
              </w:r>
              <w:r>
                <w:rPr>
                  <w:i/>
                </w:rPr>
                <w:t xml:space="preserve">Genesis 12-36</w:t>
              </w:r>
              <w:r>
                <w:t xml:space="preserve"> [CC], 258.</w:t>
              </w:r>
            </w:t>
          </w:r>
        </w:t>
      </w:r>
    </w:p>
  </w:footnote>
  <w:footnote w:id="25207">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159, cf. 191.</w:t>
              </w:r>
            </w:t>
          </w:r>
        </w:t>
      </w:r>
    </w:p>
  </w:footnote>
  <w:footnote w:id="10968">
    <w:p>
      <w:pPr>
        <w:pStyle w:val="FootnoteText"/>
      </w:pPr>
      <w:r>
        <w:rPr>
          <w:rStyle w:val="FootnoteReference"/>
        </w:rPr>
        <w:footnoteRef/>
      </w:r>
      <w:r>
        <w:t xml:space="preserve">
          <w:r>
            <w:t xml:space="preserve">
              <w:r>
                <w:t xml:space="preserve"> Clifford, </w:t>
              </w:r>
              <w:r>
                <w:rPr>
                  <w:i/>
                </w:rPr>
                <w:t xml:space="preserve">The Cosmic Mountain</w:t>
              </w:r>
              <w:r>
                <w:t xml:space="preserve">, 5.</w:t>
              </w:r>
            </w:t>
          </w:r>
        </w:t>
      </w:r>
    </w:p>
  </w:footnote>
  <w:footnote w:id="22179">
    <w:p>
      <w:pPr>
        <w:pStyle w:val="FootnoteText"/>
      </w:pPr>
      <w:r>
        <w:rPr>
          <w:rStyle w:val="FootnoteReference"/>
        </w:rPr>
        <w:footnoteRef/>
      </w:r>
      <w:r>
        <w:t xml:space="preserve">
          <w:r>
            <w:t xml:space="preserve">
              <w:r>
                <w:t xml:space="preserve"> Clifford, </w:t>
              </w:r>
              <w:r>
                <w:rPr>
                  <w:i/>
                </w:rPr>
                <w:t xml:space="preserve">The Cosmic Mountain</w:t>
              </w:r>
              <w:r>
                <w:t xml:space="preserve">, 177.</w:t>
              </w:r>
            </w:t>
          </w:r>
        </w:t>
      </w:r>
    </w:p>
  </w:footnote>
  <w:footnote w:id="28786">
    <w:p>
      <w:pPr>
        <w:pStyle w:val="FootnoteText"/>
      </w:pPr>
      <w:r>
        <w:rPr>
          <w:rStyle w:val="FootnoteReference"/>
        </w:rPr>
        <w:footnoteRef/>
      </w:r>
      <w:r>
        <w:t xml:space="preserve">
          <w:r>
            <w:t xml:space="preserve">
              <w:r>
                <w:t xml:space="preserve"> Clifford, </w:t>
              </w:r>
              <w:r>
                <w:rPr>
                  <w:i/>
                </w:rPr>
                <w:t xml:space="preserve">The Cosmic Mountain</w:t>
              </w:r>
              <w:r>
                <w:t xml:space="preserve">, 4.</w:t>
              </w:r>
            </w:t>
          </w:r>
        </w:t>
      </w:r>
    </w:p>
  </w:footnote>
  <w:footnote w:id="18315">
    <w:p>
      <w:pPr>
        <w:pStyle w:val="FootnoteText"/>
      </w:pPr>
      <w:r>
        <w:rPr>
          <w:rStyle w:val="FootnoteReference"/>
        </w:rPr>
        <w:footnoteRef/>
      </w:r>
      <w:r>
        <w:t xml:space="preserve">
          <w:r>
            <w:t xml:space="preserve">
              <w:r>
                <w:t xml:space="preserve"> Clifford, </w:t>
              </w:r>
              <w:r>
                <w:rPr>
                  <w:i/>
                </w:rPr>
                <w:t xml:space="preserve">The Cosmic Mountain</w:t>
              </w:r>
              <w:r>
                <w:t xml:space="preserve">, 32.</w:t>
              </w:r>
            </w:t>
          </w:r>
        </w:t>
      </w:r>
    </w:p>
  </w:footnote>
  <w:footnote w:id="13359">
    <w:p>
      <w:pPr>
        <w:pStyle w:val="FootnoteText"/>
      </w:pPr>
      <w:r>
        <w:rPr>
          <w:rStyle w:val="FootnoteReference"/>
        </w:rPr>
        <w:footnoteRef/>
      </w:r>
      <w:r>
        <w:t xml:space="preserve">
          <w:r>
            <w:t xml:space="preserve">
              <w:r>
                <w:t xml:space="preserve"> See Bullinger, </w:t>
              </w:r>
              <w:r>
                <w:rPr>
                  <w:i/>
                </w:rPr>
                <w:t xml:space="preserve">Figures of Speech</w:t>
              </w:r>
              <w:r>
                <w:t xml:space="preserve">, 189, 491, “epizeuxis.”</w:t>
              </w:r>
            </w:t>
          </w:r>
        </w:t>
      </w:r>
    </w:p>
  </w:footnote>
  <w:footnote w:id="24782">
    <w:p>
      <w:pPr>
        <w:pStyle w:val="FootnoteText"/>
      </w:pPr>
      <w:r>
        <w:rPr>
          <w:rStyle w:val="FootnoteReference"/>
        </w:rPr>
        <w:footnoteRef/>
      </w:r>
      <w:r>
        <w:t xml:space="preserve">
          <w:r>
            <w:t xml:space="preserve">
              <w:r>
                <w:t xml:space="preserve"> Victor Hamilton, </w:t>
              </w:r>
              <w:r>
                <w:rPr>
                  <w:i/>
                </w:rPr>
                <w:t xml:space="preserve">The Book of Genesis: Chapters 1-7</w:t>
              </w:r>
              <w:r>
                <w:t xml:space="preserve"> [NICOT], 465.</w:t>
              </w:r>
            </w:t>
          </w:r>
        </w:t>
      </w:r>
    </w:p>
  </w:footnote>
  <w:footnote w:id="14501">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467.</w:t>
              </w:r>
            </w:t>
          </w:r>
        </w:t>
      </w:r>
    </w:p>
  </w:footnote>
  <w:footnote w:id="2509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276">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29122">
    <w:p>
      <w:pPr>
        <w:pStyle w:val="FootnoteText"/>
      </w:pPr>
      <w:r>
        <w:rPr>
          <w:rStyle w:val="FootnoteReference"/>
        </w:rPr>
        <w:footnoteRef/>
      </w:r>
      <w:r>
        <w:t xml:space="preserve">
          <w:r>
            <w:t xml:space="preserve">
              <w:r>
                <w:t xml:space="preserve"> Sarna, </w:t>
              </w:r>
              <w:r>
                <w:rPr>
                  <w:i/>
                </w:rPr>
                <w:t xml:space="preserve">The JPS Torah Commentary</w:t>
              </w:r>
              <w:r>
                <w:t xml:space="preserve">, 126.</w:t>
              </w:r>
            </w:t>
          </w:r>
        </w:t>
      </w:r>
    </w:p>
  </w:footnote>
  <w:footnote w:id="17472">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17958">
    <w:p>
      <w:pPr>
        <w:pStyle w:val="FootnoteText"/>
      </w:pPr>
      <w:r>
        <w:rPr>
          <w:rStyle w:val="FootnoteReference"/>
        </w:rPr>
        <w:footnoteRef/>
      </w:r>
      <w:r>
        <w:t xml:space="preserve">
          <w:r>
            <w:t xml:space="preserve">
              <w:r>
                <w:t xml:space="preserve"> M. Graeser, J. Lynn, and J. Schoenheit, </w:t>
              </w:r>
              <w:r>
                <w:rPr>
                  <w:i/>
                </w:rPr>
                <w:t xml:space="preserve">Don’t Blame God</w:t>
              </w:r>
              <w:r>
                <w:t xml:space="preserve">, 59-60.</w:t>
              </w:r>
            </w:t>
          </w:r>
        </w:t>
      </w:r>
    </w:p>
  </w:footnote>
  <w:footnote w:id="12267">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3174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18305">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76, 83.</w:t>
              </w:r>
            </w:t>
          </w:r>
        </w:t>
      </w:r>
    </w:p>
  </w:footnote>
  <w:footnote w:id="14666">
    <w:p>
      <w:pPr>
        <w:pStyle w:val="FootnoteText"/>
      </w:pPr>
      <w:r>
        <w:rPr>
          <w:rStyle w:val="FootnoteReference"/>
        </w:rPr>
        <w:footnoteRef/>
      </w:r>
      <w:r>
        <w:t xml:space="preserve">
          <w:r>
            <w:t xml:space="preserve">
              <w:r>
                <w:t xml:space="preserve"> Everett Fox, </w:t>
              </w:r>
              <w:r>
                <w:rPr>
                  <w:i/>
                </w:rPr>
                <w:t xml:space="preserve">The Five Books of Moses</w:t>
              </w:r>
              <w:r>
                <w:t xml:space="preserve">, 88.</w:t>
              </w:r>
            </w:t>
          </w:r>
        </w:t>
      </w:r>
    </w:p>
  </w:footnote>
  <w:footnote w:id="23037">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92.</w:t>
              </w:r>
            </w:t>
          </w:r>
        </w:t>
      </w:r>
    </w:p>
  </w:footnote>
  <w:footnote w:id="17517">
    <w:p>
      <w:pPr>
        <w:pStyle w:val="FootnoteText"/>
      </w:pPr>
      <w:r>
        <w:rPr>
          <w:rStyle w:val="FootnoteReference"/>
        </w:rPr>
        <w:footnoteRef/>
      </w:r>
      <w:r>
        <w:t xml:space="preserve">
          <w:r>
            <w:t xml:space="preserve">
              <w:r>
                <w:t xml:space="preserve"> Soren Kierkegaard, </w:t>
              </w:r>
              <w:r>
                <w:rPr>
                  <w:i/>
                </w:rPr>
                <w:t xml:space="preserve">Fear and Trembling</w:t>
              </w:r>
              <w:r>
                <w:t xml:space="preserve">, xi-xii, 7-11.</w:t>
              </w:r>
            </w:t>
          </w:r>
        </w:t>
      </w:r>
    </w:p>
  </w:footnote>
  <w:footnote w:id="13762">
    <w:p>
      <w:pPr>
        <w:pStyle w:val="FootnoteText"/>
      </w:pPr>
      <w:r>
        <w:rPr>
          <w:rStyle w:val="FootnoteReference"/>
        </w:rPr>
        <w:footnoteRef/>
      </w:r>
      <w:r>
        <w:t xml:space="preserve">
          <w:r>
            <w:t xml:space="preserve">
              <w:r>
                <w:t xml:space="preserve"> Cf. David H. Stern, </w:t>
              </w:r>
              <w:r>
                <w:rPr>
                  <w:i/>
                </w:rPr>
                <w:t xml:space="preserve">The Complete Jewish Bible</w:t>
              </w:r>
              <w:r>
                <w:t xml:space="preserve">.</w:t>
              </w:r>
            </w:t>
          </w:r>
        </w:t>
      </w:r>
    </w:p>
  </w:footnote>
  <w:footnote w:id="2631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804, “amphibologia.”</w:t>
              </w:r>
            </w:t>
          </w:r>
        </w:t>
      </w:r>
    </w:p>
  </w:footnote>
  <w:footnote w:id="16882">
    <w:p>
      <w:pPr>
        <w:pStyle w:val="FootnoteText"/>
      </w:pPr>
      <w:r>
        <w:rPr>
          <w:rStyle w:val="FootnoteReference"/>
        </w:rPr>
        <w:footnoteRef/>
      </w:r>
      <w:r>
        <w:t xml:space="preserve">
          <w:r>
            <w:t xml:space="preserve">
              <w:r>
                <w:t xml:space="preserve"> Nahum Sarna, </w:t>
              </w:r>
              <w:r>
                <w:rPr>
                  <w:i/>
                </w:rPr>
                <w:t xml:space="preserve">The JPS Torah Commentary</w:t>
              </w:r>
              <w:r>
                <w:t xml:space="preserve">, 155.</w:t>
              </w:r>
            </w:t>
          </w:r>
        </w:t>
      </w:r>
    </w:p>
  </w:footnote>
  <w:footnote w:id="26463">
    <w:p>
      <w:pPr>
        <w:pStyle w:val="FootnoteText"/>
      </w:pPr>
      <w:r>
        <w:rPr>
          <w:rStyle w:val="FootnoteReference"/>
        </w:rPr>
        <w:footnoteRef/>
      </w:r>
      <w:r>
        <w:t xml:space="preserve">
          <w:r>
            <w:t xml:space="preserve">
              <w:r>
                <w:t xml:space="preserve"> Sarna, 155.</w:t>
              </w:r>
            </w:t>
          </w:r>
        </w:t>
      </w:r>
    </w:p>
  </w:footnote>
  <w:footnote w:id="21486">
    <w:p>
      <w:pPr>
        <w:pStyle w:val="FootnoteText"/>
      </w:pPr>
      <w:r>
        <w:rPr>
          <w:rStyle w:val="FootnoteReference"/>
        </w:rPr>
        <w:footnoteRef/>
      </w:r>
      <w:r>
        <w:t xml:space="preserve">
          <w:r>
            <w:t xml:space="preserve">
              <w:r>
                <w:t xml:space="preserve"> Nahum Sarna, </w:t>
              </w:r>
              <w:r>
                <w:rPr>
                  <w:i/>
                </w:rPr>
                <w:t xml:space="preserve">The JPS Torah Commentary</w:t>
              </w:r>
              <w:r>
                <w:t xml:space="preserve">, 156.</w:t>
              </w:r>
            </w:t>
          </w:r>
        </w:t>
      </w:r>
    </w:p>
  </w:footnote>
  <w:footnote w:id="13356">
    <w:p>
      <w:pPr>
        <w:pStyle w:val="FootnoteText"/>
      </w:pPr>
      <w:r>
        <w:rPr>
          <w:rStyle w:val="FootnoteReference"/>
        </w:rPr>
        <w:footnoteRef/>
      </w:r>
      <w:r>
        <w:t xml:space="preserve">
          <w:r>
            <w:t xml:space="preserve">
              <w:r>
                <w:t xml:space="preserve"> Sarna, 156.</w:t>
              </w:r>
            </w:t>
          </w:r>
        </w:t>
      </w:r>
    </w:p>
  </w:footnote>
  <w:footnote w:id="23280">
    <w:p>
      <w:pPr>
        <w:pStyle w:val="FootnoteText"/>
      </w:pPr>
      <w:r>
        <w:rPr>
          <w:rStyle w:val="FootnoteReference"/>
        </w:rPr>
        <w:footnoteRef/>
      </w:r>
      <w:r>
        <w:t xml:space="preserve">
          <w:r>
            <w:t xml:space="preserve">
              <w:r>
                <w:t xml:space="preserve"> Sarna, 156.</w:t>
              </w:r>
            </w:t>
          </w:r>
        </w:t>
      </w:r>
    </w:p>
  </w:footnote>
  <w:footnote w:id="27808">
    <w:p>
      <w:pPr>
        <w:pStyle w:val="FootnoteText"/>
      </w:pPr>
      <w:r>
        <w:rPr>
          <w:rStyle w:val="FootnoteReference"/>
        </w:rPr>
        <w:footnoteRef/>
      </w:r>
      <w:r>
        <w:t xml:space="preserve">
          <w:r>
            <w:t xml:space="preserve">
              <w:r>
                <w:t xml:space="preserve"> Sarna, 156.</w:t>
              </w:r>
            </w:t>
          </w:r>
        </w:t>
      </w:r>
    </w:p>
  </w:footnote>
  <w:footnote w:id="2774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w:t>
              </w:r>
            </w:t>
          </w:r>
        </w:t>
      </w:r>
    </w:p>
  </w:footnote>
  <w:footnote w:id="2290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163-164.</w:t>
              </w:r>
            </w:t>
          </w:r>
        </w:t>
      </w:r>
    </w:p>
  </w:footnote>
  <w:footnote w:id="20705">
    <w:p>
      <w:pPr>
        <w:pStyle w:val="FootnoteText"/>
      </w:pPr>
      <w:r>
        <w:rPr>
          <w:rStyle w:val="FootnoteReference"/>
        </w:rPr>
        <w:footnoteRef/>
      </w:r>
      <w:r>
        <w:t xml:space="preserve">
          <w:r>
            <w:t xml:space="preserve">
              <w:r>
                <w:t xml:space="preserve"> William Thomson, </w:t>
              </w:r>
              <w:r>
                <w:rPr>
                  <w:i/>
                </w:rPr>
                <w:t xml:space="preserve">The Land and the Book</w:t>
              </w:r>
              <w:r>
                <w:t xml:space="preserve">, 260-61.</w:t>
              </w:r>
            </w:t>
          </w:r>
        </w:t>
      </w:r>
    </w:p>
  </w:footnote>
  <w:footnote w:id="24560">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26146">
    <w:p>
      <w:pPr>
        <w:pStyle w:val="FootnoteText"/>
      </w:pPr>
      <w:r>
        <w:rPr>
          <w:rStyle w:val="FootnoteReference"/>
        </w:rPr>
        <w:footnoteRef/>
      </w:r>
      <w:r>
        <w:t xml:space="preserve">
          <w:r>
            <w:t xml:space="preserve">
              <w:r>
                <w:t xml:space="preserve"> Nahum Sarna, </w:t>
              </w:r>
              <w:r>
                <w:rPr>
                  <w:i/>
                </w:rPr>
                <w:t xml:space="preserve">The JPS Torah Commentary</w:t>
              </w:r>
              <w:r>
                <w:t xml:space="preserve">, 166.</w:t>
              </w:r>
            </w:t>
          </w:r>
        </w:t>
      </w:r>
    </w:p>
  </w:footnote>
  <w:footnote w:id="23372">
    <w:p>
      <w:pPr>
        <w:pStyle w:val="FootnoteText"/>
      </w:pPr>
      <w:r>
        <w:rPr>
          <w:rStyle w:val="FootnoteReference"/>
        </w:rPr>
        <w:footnoteRef/>
      </w:r>
      <w:r>
        <w:t xml:space="preserve">
          <w:r>
            <w:t xml:space="preserve">
              <w:r>
                <w:t xml:space="preserve"> VanGemeren,</w:t>
              </w:r>
              <w:r>
                <w:rPr>
                  <w:i/>
                </w:rPr>
                <w:t xml:space="preserve"> New International Dictionary of Old Testament Theology and Exegesis</w:t>
              </w:r>
              <w:r>
                <w:t xml:space="preserve">.</w:t>
              </w:r>
            </w:t>
          </w:r>
        </w:t>
      </w:r>
    </w:p>
  </w:footnote>
  <w:footnote w:id="28766">
    <w:p>
      <w:pPr>
        <w:pStyle w:val="FootnoteText"/>
      </w:pPr>
      <w:r>
        <w:rPr>
          <w:rStyle w:val="FootnoteReference"/>
        </w:rPr>
        <w:footnoteRef/>
      </w:r>
      <w:r>
        <w:t xml:space="preserve">
          <w:r>
            <w:t xml:space="preserve">
              <w:r>
                <w:t xml:space="preserve"> W. Baker and E. Carpenter, </w:t>
              </w:r>
              <w:r>
                <w:rPr>
                  <w:i/>
                </w:rPr>
                <w:t xml:space="preserve">The Complete Word Study Dictionary</w:t>
              </w:r>
              <w:r>
                <w:t xml:space="preserve">.</w:t>
              </w:r>
            </w:t>
          </w:r>
        </w:t>
      </w:r>
    </w:p>
  </w:footnote>
  <w:footnote w:id="31559">
    <w:p>
      <w:pPr>
        <w:pStyle w:val="FootnoteText"/>
      </w:pPr>
      <w:r>
        <w:rPr>
          <w:rStyle w:val="FootnoteReference"/>
        </w:rPr>
        <w:footnoteRef/>
      </w:r>
      <w:r>
        <w:t xml:space="preserve">
          <w:r>
            <w:t xml:space="preserve">
              <w:r>
                <w:t xml:space="preserve"> Cf. Keil and Delitzsch </w:t>
              </w:r>
              <w:r>
                <w:rPr>
                  <w:i/>
                </w:rPr>
                <w:t xml:space="preserve">Commentary on the OT: The Pentateuch</w:t>
              </w:r>
              <w:r>
                <w:t xml:space="preserve">, 292.</w:t>
              </w:r>
            </w:t>
          </w:r>
        </w:t>
      </w:r>
    </w:p>
  </w:footnote>
  <w:footnote w:id="30572">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407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202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2891">
    <w:p>
      <w:pPr>
        <w:pStyle w:val="FootnoteText"/>
      </w:pPr>
      <w:r>
        <w:rPr>
          <w:rStyle w:val="FootnoteReference"/>
        </w:rPr>
        <w:footnoteRef/>
      </w:r>
      <w:r>
        <w:t xml:space="preserve">
          <w:r>
            <w:t xml:space="preserve">
              <w:r>
                <w:t xml:space="preserve"> Victor Hamilton, </w:t>
              </w:r>
              <w:r>
                <w:rPr>
                  <w:i/>
                </w:rPr>
                <w:t xml:space="preserve">Genesis</w:t>
              </w:r>
              <w:r>
                <w:t xml:space="preserve"> [NICOT], 238.</w:t>
              </w:r>
            </w:t>
          </w:r>
        </w:t>
      </w:r>
    </w:p>
  </w:footnote>
  <w:footnote w:id="26505">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9878">
    <w:p>
      <w:pPr>
        <w:pStyle w:val="FootnoteText"/>
      </w:pPr>
      <w:r>
        <w:rPr>
          <w:rStyle w:val="FootnoteReference"/>
        </w:rPr>
        <w:footnoteRef/>
      </w:r>
      <w:r>
        <w:t xml:space="preserve">
          <w:r>
            <w:t xml:space="preserve">
              <w:r>
                <w:t xml:space="preserve"> Bullinger, Figures of Speech, 151-54, “aposiopesis.”</w:t>
              </w:r>
            </w:t>
          </w:r>
        </w:t>
      </w:r>
    </w:p>
  </w:footnote>
  <w:footnote w:id="17010">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20772">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16104">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https://www.chabad.org/library/bible_cdo/aid/8225/showrashi/true, accessed 11-22-2023.</w:t>
              </w:r>
            </w:t>
          </w:r>
        </w:t>
      </w:r>
    </w:p>
  </w:footnote>
  <w:footnote w:id="19779">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289.</w:t>
              </w:r>
            </w:t>
          </w:r>
        </w:t>
      </w:r>
    </w:p>
  </w:footnote>
  <w:footnote w:id="32132">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https://www.chabad.org/library/bible_cdo/aid/8226/showrashi/true, accessed 11-22-2023.</w:t>
              </w:r>
            </w:t>
          </w:r>
        </w:t>
      </w:r>
    </w:p>
  </w:footnote>
  <w:footnote w:id="10364">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 accessed 11-22-2023.</w:t>
              </w:r>
            </w:t>
          </w:r>
        </w:t>
      </w:r>
    </w:p>
  </w:footnote>
  <w:footnote w:id="17122">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299.</w:t>
              </w:r>
            </w:t>
          </w:r>
        </w:t>
      </w:r>
    </w:p>
  </w:footnote>
  <w:footnote w:id="3153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217.</w:t>
              </w:r>
            </w:t>
          </w:r>
        </w:t>
      </w:r>
    </w:p>
  </w:footnote>
  <w:footnote w:id="32550">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151, “aposiopesis.”</w:t>
              </w:r>
            </w:t>
          </w:r>
        </w:t>
      </w:r>
    </w:p>
  </w:footnote>
  <w:footnote w:id="32613">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315.</w:t>
              </w:r>
            </w:t>
          </w:r>
        </w:t>
      </w:r>
    </w:p>
  </w:footnote>
  <w:footnote w:id="15390">
    <w:p>
      <w:pPr>
        <w:pStyle w:val="FootnoteText"/>
      </w:pPr>
      <w:r>
        <w:rPr>
          <w:rStyle w:val="FootnoteReference"/>
        </w:rPr>
        <w:footnoteRef/>
      </w:r>
      <w:r>
        <w:t xml:space="preserve">
          <w:r>
            <w:t xml:space="preserve">
              <w:r>
                <w:t xml:space="preserve"> Adrian Curtis, </w:t>
              </w:r>
              <w:r>
                <w:rPr>
                  <w:i/>
                </w:rPr>
                <w:t xml:space="preserve">Oxford Bible Atlas</w:t>
              </w:r>
              <w:r>
                <w:t xml:space="preserve">, 72. Also, Bill Schlegel, </w:t>
              </w:r>
              <w:r>
                <w:rPr>
                  <w:i/>
                </w:rPr>
                <w:t xml:space="preserve">Satellite Bible Atlas</w:t>
              </w:r>
              <w:r>
                <w:t xml:space="preserve">, 25.</w:t>
              </w:r>
            </w:t>
          </w:r>
        </w:t>
      </w:r>
    </w:p>
  </w:footnote>
  <w:footnote w:id="24357">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14337">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29878">
    <w:p>
      <w:pPr>
        <w:pStyle w:val="FootnoteText"/>
      </w:pPr>
      <w:r>
        <w:rPr>
          <w:rStyle w:val="FootnoteReference"/>
        </w:rPr>
        <w:footnoteRef/>
      </w:r>
      <w:r>
        <w:t xml:space="preserve">
          <w:r>
            <w:t xml:space="preserve">
              <w:r>
                <w:t xml:space="preserve"> Andrew Steinmann, </w:t>
              </w:r>
              <w:r>
                <w:rPr>
                  <w:i/>
                </w:rPr>
                <w:t xml:space="preserve">Genesis</w:t>
              </w:r>
              <w:r>
                <w:t xml:space="preserve"> [TOTC], 323.</w:t>
              </w:r>
            </w:t>
          </w:r>
        </w:t>
      </w:r>
    </w:p>
  </w:footnote>
  <w:footnote w:id="1094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235.</w:t>
              </w:r>
            </w:t>
          </w:r>
        </w:t>
      </w:r>
    </w:p>
  </w:footnote>
  <w:footnote w:id="27536">
    <w:p>
      <w:pPr>
        <w:pStyle w:val="FootnoteText"/>
      </w:pPr>
      <w:r>
        <w:rPr>
          <w:rStyle w:val="FootnoteReference"/>
        </w:rPr>
        <w:footnoteRef/>
      </w:r>
      <w:r>
        <w:t xml:space="preserve">
          <w:r>
            <w:t xml:space="preserve">
              <w:r>
                <w:t xml:space="preserve"> H. C. Leupold, </w:t>
              </w:r>
              <w:r>
                <w:rPr>
                  <w:i/>
                </w:rPr>
                <w:t xml:space="preserve">Exposition of Genesis</w:t>
              </w:r>
              <w:r>
                <w:t xml:space="preserve">, 903.</w:t>
              </w:r>
            </w:t>
          </w:r>
        </w:t>
      </w:r>
    </w:p>
  </w:footnote>
  <w:footnote w:id="1986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241.</w:t>
              </w:r>
            </w:t>
          </w:r>
        </w:t>
      </w:r>
    </w:p>
  </w:footnote>
  <w:footnote w:id="19634">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377n5.</w:t>
              </w:r>
            </w:t>
          </w:r>
        </w:t>
      </w:r>
    </w:p>
  </w:footnote>
  <w:footnote w:id="3237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242.</w:t>
              </w:r>
            </w:t>
          </w:r>
        </w:t>
      </w:r>
    </w:p>
  </w:footnote>
  <w:footnote w:id="18119">
    <w:p>
      <w:pPr>
        <w:pStyle w:val="FootnoteText"/>
      </w:pPr>
      <w:r>
        <w:rPr>
          <w:rStyle w:val="FootnoteReference"/>
        </w:rPr>
        <w:footnoteRef/>
      </w:r>
      <w:r>
        <w:t xml:space="preserve">
          <w:r>
            <w:t xml:space="preserve">
              <w:r>
                <w:t xml:space="preserve"> Wikipedia, “Rachel’s Tomb,” accessed February 26, 2024, https://en.wikipedia.org/wiki/Rachel%27s_Tomb.</w:t>
              </w:r>
            </w:t>
          </w:r>
        </w:t>
      </w:r>
    </w:p>
  </w:footnote>
  <w:footnote w:id="24409">
    <w:p>
      <w:pPr>
        <w:pStyle w:val="FootnoteText"/>
      </w:pPr>
      <w:r>
        <w:rPr>
          <w:rStyle w:val="FootnoteReference"/>
        </w:rPr>
        <w:footnoteRef/>
      </w:r>
      <w:r>
        <w:t xml:space="preserve">
          <w:r>
            <w:t xml:space="preserve">
              <w:r>
                <w:t xml:space="preserve"> Bill Schlegel, </w:t>
              </w:r>
              <w:r>
                <w:rPr>
                  <w:i/>
                </w:rPr>
                <w:t xml:space="preserve">The Satellite Bible Atlas</w:t>
              </w:r>
              <w:r>
                <w:t xml:space="preserve">, 24. The map referenced is “Jacob and Joseph,” 25.</w:t>
              </w:r>
            </w:t>
          </w:r>
        </w:t>
      </w:r>
    </w:p>
  </w:footnote>
  <w:footnote w:id="15969">
    <w:p>
      <w:pPr>
        <w:pStyle w:val="FootnoteText"/>
      </w:pPr>
      <w:r>
        <w:rPr>
          <w:rStyle w:val="FootnoteReference"/>
        </w:rPr>
        <w:footnoteRef/>
      </w:r>
      <w:r>
        <w:t xml:space="preserve">
          <w:r>
            <w:t xml:space="preserve">
              <w:r>
                <w:t xml:space="preserve"> Nahum Sarna, </w:t>
              </w:r>
              <w:r>
                <w:rPr>
                  <w:i/>
                </w:rPr>
                <w:t xml:space="preserve">The JPS Torah Commentary</w:t>
              </w:r>
              <w:r>
                <w:t xml:space="preserve">, 245.</w:t>
              </w:r>
            </w:t>
          </w:r>
        </w:t>
      </w:r>
    </w:p>
  </w:footnote>
  <w:footnote w:id="3145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262n.</w:t>
              </w:r>
            </w:t>
          </w:r>
        </w:t>
      </w:r>
    </w:p>
  </w:footnote>
  <w:footnote w:id="3126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266.</w:t>
              </w:r>
            </w:t>
          </w:r>
        </w:t>
      </w:r>
    </w:p>
  </w:footnote>
  <w:footnote w:id="18342">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439.</w:t>
              </w:r>
            </w:t>
          </w:r>
        </w:t>
      </w:r>
    </w:p>
  </w:footnote>
  <w:footnote w:id="2925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286.</w:t>
              </w:r>
            </w:t>
          </w:r>
        </w:t>
      </w:r>
    </w:p>
  </w:footnote>
  <w:footnote w:id="15100">
    <w:p>
      <w:pPr>
        <w:pStyle w:val="FootnoteText"/>
      </w:pPr>
      <w:r>
        <w:rPr>
          <w:rStyle w:val="FootnoteReference"/>
        </w:rPr>
        <w:footnoteRef/>
      </w:r>
      <w:r>
        <w:t xml:space="preserve">
          <w:r>
            <w:t xml:space="preserve">
              <w:r>
                <w:t xml:space="preserve"> New American Bible text note on Gen. 41:45.</w:t>
              </w:r>
            </w:t>
          </w:r>
        </w:t>
      </w:r>
    </w:p>
  </w:footnote>
  <w:footnote w:id="31408">
    <w:p>
      <w:pPr>
        <w:pStyle w:val="FootnoteText"/>
      </w:pPr>
      <w:r>
        <w:rPr>
          <w:rStyle w:val="FootnoteReference"/>
        </w:rPr>
        <w:footnoteRef/>
      </w:r>
      <w:r>
        <w:t xml:space="preserve">
          <w:r>
            <w:t xml:space="preserve">
              <w:r>
                <w:t xml:space="preserve"> Hayim ben Yosef Tawil and Richard J. Rinberg, </w:t>
              </w:r>
              <w:r>
                <w:rPr>
                  <w:i/>
                </w:rPr>
                <w:t xml:space="preserve">Let There Be Light - Genesis</w:t>
              </w:r>
              <w:r>
                <w:t xml:space="preserve">, 292.</w:t>
              </w:r>
            </w:t>
          </w:r>
        </w:t>
      </w:r>
    </w:p>
  </w:footnote>
  <w:footnote w:id="26026">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563.</w:t>
              </w:r>
            </w:t>
          </w:r>
        </w:t>
      </w:r>
    </w:p>
  </w:footnote>
  <w:footnote w:id="28929">
    <w:p>
      <w:pPr>
        <w:pStyle w:val="FootnoteText"/>
      </w:pPr>
      <w:r>
        <w:rPr>
          <w:rStyle w:val="FootnoteReference"/>
        </w:rPr>
        <w:footnoteRef/>
      </w:r>
      <w:r>
        <w:t xml:space="preserve">
          <w:r>
            <w:t xml:space="preserve">
              <w:r>
                <w:t xml:space="preserve"> Henry Morris, </w:t>
              </w:r>
              <w:r>
                <w:rPr>
                  <w:i/>
                </w:rPr>
                <w:t xml:space="preserve">The Genesis Record</w:t>
              </w:r>
              <w:r>
                <w:t xml:space="preserve">, 629.</w:t>
              </w:r>
            </w:t>
          </w:r>
        </w:t>
      </w:r>
    </w:p>
  </w:footnote>
  <w:footnote w:id="16242">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 w:id="20124">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614.</w:t>
              </w:r>
            </w:t>
          </w:r>
        </w:t>
      </w:r>
    </w:p>
  </w:footnote>
  <w:footnote w:id="2289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327.</w:t>
              </w:r>
            </w:t>
          </w:r>
        </w:t>
      </w:r>
    </w:p>
  </w:footnote>
  <w:footnote w:id="13608">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635.</w:t>
              </w:r>
            </w:t>
          </w:r>
        </w:t>
      </w:r>
    </w:p>
  </w:footnote>
  <w:footnote w:id="13330">
    <w:p>
      <w:pPr>
        <w:pStyle w:val="FootnoteText"/>
      </w:pPr>
      <w:r>
        <w:rPr>
          <w:rStyle w:val="FootnoteReference"/>
        </w:rPr>
        <w:footnoteRef/>
      </w:r>
      <w:r>
        <w:t xml:space="preserve">
          <w:r>
            <w:t xml:space="preserve">
              <w:r>
                <w:t xml:space="preserve"> Wilhelm Gesenius, </w:t>
              </w:r>
              <w:r>
                <w:rPr>
                  <w:i/>
                </w:rPr>
                <w:t xml:space="preserve">Gesenius’ Hebrew Grammar</w:t>
              </w:r>
              <w:r>
                <w:t xml:space="preserve">, para. 146.</w:t>
              </w:r>
            </w:t>
          </w:r>
        </w:t>
      </w:r>
    </w:p>
  </w:footnote>
  <w:footnote w:id="17943">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332.</w:t>
              </w:r>
            </w:t>
          </w:r>
        </w:t>
      </w:r>
    </w:p>
  </w:footnote>
  <w:footnote w:id="19892">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648-649.</w:t>
              </w:r>
            </w:t>
          </w:r>
        </w:t>
      </w:r>
    </w:p>
  </w:footnote>
  <w:footnote w:id="14164">
    <w:p>
      <w:pPr>
        <w:pStyle w:val="FootnoteText"/>
      </w:pPr>
      <w:r>
        <w:rPr>
          <w:rStyle w:val="FootnoteReference"/>
        </w:rPr>
        <w:footnoteRef/>
      </w:r>
      <w:r>
        <w:t xml:space="preserve">
          <w:r>
            <w:t xml:space="preserve">
              <w:r>
                <w:t xml:space="preserve"> Keil and Delitzsch, </w:t>
              </w:r>
              <w:r>
                <w:rPr>
                  <w:i/>
                </w:rPr>
                <w:t xml:space="preserve">Biblical Commentary on the Old Testament</w:t>
              </w:r>
              <w:r>
                <w:t xml:space="preserve">, 1:402.</w:t>
              </w:r>
            </w:t>
          </w:r>
        </w:t>
      </w:r>
    </w:p>
  </w:footnote>
  <w:footnote w:id="32271">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26434">
    <w:p>
      <w:pPr>
        <w:pStyle w:val="FootnoteText"/>
      </w:pPr>
      <w:r>
        <w:rPr>
          <w:rStyle w:val="FootnoteReference"/>
        </w:rPr>
        <w:footnoteRef/>
      </w:r>
      <w:r>
        <w:t xml:space="preserve">
          <w:r>
            <w:t xml:space="preserve">
              <w:r>
                <w:t xml:space="preserve"> Cf. BDAG.</w:t>
              </w:r>
            </w:t>
          </w:r>
        </w:t>
      </w:r>
    </w:p>
  </w:footnote>
  <w:footnote w:id="16950">
    <w:p>
      <w:pPr>
        <w:pStyle w:val="FootnoteText"/>
      </w:pPr>
      <w:r>
        <w:rPr>
          <w:rStyle w:val="FootnoteReference"/>
        </w:rPr>
        <w:footnoteRef/>
      </w:r>
      <w:r>
        <w:t xml:space="preserve">
          <w:r>
            <w:t xml:space="preserve">
              <w:r>
                <w:t xml:space="preserve"> Kenneth A. Matthews, </w:t>
              </w:r>
              <w:r>
                <w:rPr>
                  <w:i/>
                </w:rPr>
                <w:t xml:space="preserve">Genesis 11:27-50:26</w:t>
              </w:r>
              <w:r>
                <w:t xml:space="preserve"> [NAC], 901.</w:t>
              </w:r>
            </w:t>
          </w:r>
        </w:t>
      </w:r>
    </w:p>
  </w:footnote>
  <w:footnote w:id="21600">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1:330, no. 767.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098369">
    <w:multiLevelType w:val="hybridMultilevel"/>
    <w:lvl w:ilvl="0" w:tplc="60746375">
      <w:start w:val="1"/>
      <w:numFmt w:val="decimal"/>
      <w:lvlText w:val="%1."/>
      <w:lvlJc w:val="left"/>
      <w:pPr>
        <w:ind w:left="720" w:hanging="360"/>
      </w:pPr>
    </w:lvl>
    <w:lvl w:ilvl="1" w:tplc="60746375" w:tentative="1">
      <w:start w:val="1"/>
      <w:numFmt w:val="lowerLetter"/>
      <w:lvlText w:val="%2."/>
      <w:lvlJc w:val="left"/>
      <w:pPr>
        <w:ind w:left="1440" w:hanging="360"/>
      </w:pPr>
    </w:lvl>
    <w:lvl w:ilvl="2" w:tplc="60746375" w:tentative="1">
      <w:start w:val="1"/>
      <w:numFmt w:val="lowerRoman"/>
      <w:lvlText w:val="%3."/>
      <w:lvlJc w:val="right"/>
      <w:pPr>
        <w:ind w:left="2160" w:hanging="180"/>
      </w:pPr>
    </w:lvl>
    <w:lvl w:ilvl="3" w:tplc="60746375" w:tentative="1">
      <w:start w:val="1"/>
      <w:numFmt w:val="decimal"/>
      <w:lvlText w:val="%4."/>
      <w:lvlJc w:val="left"/>
      <w:pPr>
        <w:ind w:left="2880" w:hanging="360"/>
      </w:pPr>
    </w:lvl>
    <w:lvl w:ilvl="4" w:tplc="60746375" w:tentative="1">
      <w:start w:val="1"/>
      <w:numFmt w:val="lowerLetter"/>
      <w:lvlText w:val="%5."/>
      <w:lvlJc w:val="left"/>
      <w:pPr>
        <w:ind w:left="3600" w:hanging="360"/>
      </w:pPr>
    </w:lvl>
    <w:lvl w:ilvl="5" w:tplc="60746375" w:tentative="1">
      <w:start w:val="1"/>
      <w:numFmt w:val="lowerRoman"/>
      <w:lvlText w:val="%6."/>
      <w:lvlJc w:val="right"/>
      <w:pPr>
        <w:ind w:left="4320" w:hanging="180"/>
      </w:pPr>
    </w:lvl>
    <w:lvl w:ilvl="6" w:tplc="60746375" w:tentative="1">
      <w:start w:val="1"/>
      <w:numFmt w:val="decimal"/>
      <w:lvlText w:val="%7."/>
      <w:lvlJc w:val="left"/>
      <w:pPr>
        <w:ind w:left="5040" w:hanging="360"/>
      </w:pPr>
    </w:lvl>
    <w:lvl w:ilvl="7" w:tplc="60746375" w:tentative="1">
      <w:start w:val="1"/>
      <w:numFmt w:val="lowerLetter"/>
      <w:lvlText w:val="%8."/>
      <w:lvlJc w:val="left"/>
      <w:pPr>
        <w:ind w:left="5760" w:hanging="360"/>
      </w:pPr>
    </w:lvl>
    <w:lvl w:ilvl="8" w:tplc="60746375" w:tentative="1">
      <w:start w:val="1"/>
      <w:numFmt w:val="lowerRoman"/>
      <w:lvlText w:val="%9."/>
      <w:lvlJc w:val="right"/>
      <w:pPr>
        <w:ind w:left="6480" w:hanging="180"/>
      </w:pPr>
    </w:lvl>
  </w:abstractNum>
  <w:abstractNum w:abstractNumId="27098368">
    <w:multiLevelType w:val="hybridMultilevel"/>
    <w:lvl w:ilvl="0" w:tplc="68203835">
      <w:start w:val="1"/>
      <w:numFmt w:val="decimal"/>
      <w:lvlText w:val="%1."/>
      <w:lvlJc w:val="left"/>
      <w:pPr>
        <w:ind w:left="720" w:hanging="360"/>
      </w:pPr>
    </w:lvl>
    <w:lvl w:ilvl="1" w:tplc="68203835" w:tentative="1">
      <w:start w:val="1"/>
      <w:numFmt w:val="lowerLetter"/>
      <w:lvlText w:val="%2."/>
      <w:lvlJc w:val="left"/>
      <w:pPr>
        <w:ind w:left="1440" w:hanging="360"/>
      </w:pPr>
    </w:lvl>
    <w:lvl w:ilvl="2" w:tplc="68203835" w:tentative="1">
      <w:start w:val="1"/>
      <w:numFmt w:val="lowerRoman"/>
      <w:lvlText w:val="%3."/>
      <w:lvlJc w:val="right"/>
      <w:pPr>
        <w:ind w:left="2160" w:hanging="180"/>
      </w:pPr>
    </w:lvl>
    <w:lvl w:ilvl="3" w:tplc="68203835" w:tentative="1">
      <w:start w:val="1"/>
      <w:numFmt w:val="decimal"/>
      <w:lvlText w:val="%4."/>
      <w:lvlJc w:val="left"/>
      <w:pPr>
        <w:ind w:left="2880" w:hanging="360"/>
      </w:pPr>
    </w:lvl>
    <w:lvl w:ilvl="4" w:tplc="68203835" w:tentative="1">
      <w:start w:val="1"/>
      <w:numFmt w:val="lowerLetter"/>
      <w:lvlText w:val="%5."/>
      <w:lvlJc w:val="left"/>
      <w:pPr>
        <w:ind w:left="3600" w:hanging="360"/>
      </w:pPr>
    </w:lvl>
    <w:lvl w:ilvl="5" w:tplc="68203835" w:tentative="1">
      <w:start w:val="1"/>
      <w:numFmt w:val="lowerRoman"/>
      <w:lvlText w:val="%6."/>
      <w:lvlJc w:val="right"/>
      <w:pPr>
        <w:ind w:left="4320" w:hanging="180"/>
      </w:pPr>
    </w:lvl>
    <w:lvl w:ilvl="6" w:tplc="68203835" w:tentative="1">
      <w:start w:val="1"/>
      <w:numFmt w:val="decimal"/>
      <w:lvlText w:val="%7."/>
      <w:lvlJc w:val="left"/>
      <w:pPr>
        <w:ind w:left="5040" w:hanging="360"/>
      </w:pPr>
    </w:lvl>
    <w:lvl w:ilvl="7" w:tplc="68203835" w:tentative="1">
      <w:start w:val="1"/>
      <w:numFmt w:val="lowerLetter"/>
      <w:lvlText w:val="%8."/>
      <w:lvlJc w:val="left"/>
      <w:pPr>
        <w:ind w:left="5760" w:hanging="360"/>
      </w:pPr>
    </w:lvl>
    <w:lvl w:ilvl="8" w:tplc="68203835" w:tentative="1">
      <w:start w:val="1"/>
      <w:numFmt w:val="lowerRoman"/>
      <w:lvlText w:val="%9."/>
      <w:lvlJc w:val="right"/>
      <w:pPr>
        <w:ind w:left="6480" w:hanging="180"/>
      </w:pPr>
    </w:lvl>
  </w:abstractNum>
  <w:abstractNum w:abstractNumId="22882">
    <w:multiLevelType w:val="hybridMultilevel"/>
    <w:lvl w:ilvl="0" w:tplc="588082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882">
    <w:abstractNumId w:val="22882"/>
  </w:num>
  <w:num w:numId="27098368">
    <w:abstractNumId w:val="27098368"/>
  </w:num>
  <w:num w:numId="27098369">
    <w:abstractNumId w:val="270983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3078972" Type="http://schemas.openxmlformats.org/officeDocument/2006/relationships/numbering" Target="numbering.xml"/><Relationship Id="rId953753081" Type="http://schemas.openxmlformats.org/officeDocument/2006/relationships/comments" Target="comments.xml"/><Relationship Id="rId343668680f338abe3" Type="http://schemas.openxmlformats.org/officeDocument/2006/relationships/footer" Target="defaultFooter.xml"/><Relationship Id="rId280668680f339f5a7" Type="http://schemas.openxmlformats.org/officeDocument/2006/relationships/hyperlink" Target="http://www.custance.org/Library/WFANDV/intro.html" TargetMode="External"/><Relationship Id="rId387868680f339fbfa" Type="http://schemas.openxmlformats.org/officeDocument/2006/relationships/hyperlink" Target="https://wikipedia.org/wiki/Divine_Council" TargetMode="External"/><Relationship Id="rId134468680f34b6f2e" Type="http://schemas.openxmlformats.org/officeDocument/2006/relationships/hyperlink" Target="https://bible.org/sites/bible.org/resources/netbible/index.htm?gen27.htm" TargetMode="External"/><Relationship Id="rId278668680f35627cb" Type="http://schemas.openxmlformats.org/officeDocument/2006/relationships/hyperlink" Target="https://archive.org/details/genesisbereshitt0000sarn_v3u6/page/351/mode/2up" TargetMode="External"/><Relationship Id="rId539068680f35627da"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