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FootnoteReference"/>
        </w:rPr>
        <w:footnoteReference w:id="32400"/>
      </w:r>
      <w:r>
        <w:rPr/>
        <w:t xml:space="preserve"> of the genealogy of Jesus Christ,</w:t>
      </w:r>
      <w:r>
        <w:rPr>
          <w:rStyle w:val="FootnoteReference"/>
        </w:rPr>
        <w:footnoteReference w:id="10550"/>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FootnoteReference"/>
              </w:rPr>
              <w:footnoteReference w:id="16892"/>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FootnoteReference"/>
        </w:rPr>
        <w:footnoteReference w:id="10650"/>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FootnoteReference"/>
        </w:rPr>
        <w:footnoteReference w:id="31160"/>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FootnoteReference"/>
        </w:rPr>
        <w:footnoteReference w:id="25594"/>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FootnoteReference"/>
        </w:rPr>
        <w:footnoteReference w:id="27654"/>
      </w:r>
      <w:r>
        <w:rPr/>
        <w:t xml:space="preserve"> he inquired of them where the Christ</w:t>
      </w:r>
      <w:r>
        <w:rPr>
          <w:rStyle w:val="FootnoteReference"/>
        </w:rPr>
        <w:footnoteReference w:id="13283"/>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FootnoteReference"/>
        </w:rPr>
        <w:footnoteReference w:id="1674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FootnoteReference"/>
        </w:rPr>
        <w:footnoteReference w:id="17134"/>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FootnoteReference"/>
        </w:rPr>
        <w:footnoteReference w:id="17588"/>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FootnoteReference"/>
        </w:rPr>
        <w:footnoteReference w:id="12190"/>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FootnoteReference"/>
        </w:rPr>
        <w:footnoteReference w:id="27009"/>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FootnoteReference"/>
        </w:rPr>
        <w:footnoteReference w:id="25378"/>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FootnoteReference"/>
        </w:rPr>
        <w:footnoteReference w:id="21737"/>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FootnoteReference"/>
        </w:rPr>
        <w:footnoteReference w:id="16619"/>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FootnoteReference"/>
        </w:rPr>
        <w:footnoteReference w:id="21519"/>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FootnoteReference"/>
        </w:rPr>
        <w:footnoteReference w:id="31716"/>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FootnoteReference"/>
        </w:rPr>
        <w:footnoteReference w:id="14312"/>
      </w:r>
      <w:r>
        <w:rPr>
          <w:rStyle w:val="rOTQuote"/>
        </w:rPr>
        <w:t xml:space="preserve"> cannot live on bread alone, but on every word that comes from the mouth of God.</w:t>
      </w:r>
      <w:r>
        <w:rPr/>
        <w:t xml:space="preserve">”</w:t>
      </w:r>
      <w:r>
        <w:rPr>
          <w:rStyle w:val="FootnoteReference"/>
        </w:rPr>
        <w:footnoteReference w:id="30726"/>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FootnoteReference"/>
        </w:rPr>
        <w:footnoteReference w:id="27298"/>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FootnoteReference"/>
        </w:rPr>
        <w:footnoteReference w:id="10442"/>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FootnoteReference"/>
        </w:rPr>
        <w:footnoteReference w:id="32252"/>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FootnoteReference"/>
        </w:rPr>
        <w:footnoteReference w:id="31826"/>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FootnoteReference"/>
        </w:rPr>
        <w:footnoteReference w:id="13010"/>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FootnoteReference"/>
        </w:rPr>
        <w:footnoteReference w:id="1287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FootnoteReference"/>
        </w:rPr>
        <w:footnoteReference w:id="15549"/>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FootnoteReference"/>
        </w:rPr>
        <w:footnoteReference w:id="30269"/>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FootnoteReference"/>
        </w:rPr>
        <w:footnoteReference w:id="20519"/>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FootnoteReference"/>
        </w:rPr>
        <w:footnoteReference w:id="13027"/>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FootnoteReference"/>
        </w:rPr>
        <w:footnoteReference w:id="15177"/>
      </w:r>
      <w:r>
        <w:rPr/>
        <w:t xml:space="preserve"> and, ‘Whoever murders will be subject to judgment.’</w:t>
      </w:r>
      <w:r>
        <w:rPr>
          <w:rStyle w:val="FootnoteReference"/>
        </w:rPr>
        <w:footnoteReference w:id="16311"/>
      </w:r>
      <w:r>
        <w:rPr/>
        <w:t xml:space="preserve"> </w:t>
      </w:r>
      <w:r>
        <w:rPr>
          <w:rStyle w:val="rSupStyle"/>
          <w:vertAlign w:val="superscript"/>
        </w:rPr>
        <w:t xml:space="preserve">22</w:t>
      </w:r>
      <w:r>
        <w:rPr/>
        <w:t xml:space="preserve">But I say to you that everyone who is enraged with his brother or sister will be subject to judgment, and whoever says to his brother or sister, ‘You idiot!’</w:t>
      </w:r>
      <w:r>
        <w:rPr>
          <w:rStyle w:val="FootnoteReference"/>
        </w:rPr>
        <w:footnoteReference w:id="10481"/>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FootnoteReference"/>
        </w:rPr>
        <w:footnoteReference w:id="25072"/>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FootnoteReference"/>
        </w:rPr>
        <w:footnoteReference w:id="13425"/>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FootnoteReference"/>
        </w:rPr>
        <w:footnoteReference w:id="30377"/>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FootnoteReference"/>
        </w:rPr>
        <w:footnoteReference w:id="21349"/>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FootnoteReference"/>
        </w:rPr>
        <w:footnoteReference w:id="29688"/>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FootnoteReference"/>
        </w:rPr>
        <w:footnoteReference w:id="11971"/>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FootnoteReference"/>
        </w:rPr>
        <w:footnoteReference w:id="32564"/>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FootnoteReference"/>
        </w:rPr>
        <w:footnoteReference w:id="29880"/>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FootnoteReference"/>
        </w:rPr>
        <w:footnoteReference w:id="10790"/>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FootnoteReference"/>
        </w:rPr>
        <w:footnoteReference w:id="30452"/>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FootnoteReference"/>
        </w:rPr>
        <w:footnoteReference w:id="12394"/>
      </w:r>
      <w:r>
        <w:rPr/>
        <w:t xml:space="preserve"> your whole body will be full of light. </w:t>
      </w:r>
      <w:r>
        <w:rPr>
          <w:rStyle w:val="rSupStyle"/>
          <w:vertAlign w:val="superscript"/>
        </w:rPr>
        <w:t xml:space="preserve">23</w:t>
      </w:r>
      <w:r>
        <w:rPr/>
        <w:t xml:space="preserve">But if your eye is stingy,</w:t>
      </w:r>
      <w:r>
        <w:rPr>
          <w:rStyle w:val="FootnoteReference"/>
        </w:rPr>
        <w:footnoteReference w:id="14572"/>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FootnoteReference"/>
        </w:rPr>
        <w:footnoteReference w:id="26236"/>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FootnoteReference"/>
        </w:rPr>
        <w:footnoteReference w:id="25938"/>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FootnoteReference"/>
        </w:rPr>
        <w:footnoteReference w:id="16537"/>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FootnoteReference"/>
        </w:rPr>
        <w:footnoteReference w:id="12360"/>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FootnoteReference"/>
        </w:rPr>
        <w:footnoteReference w:id="11309"/>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FootnoteReference"/>
        </w:rPr>
        <w:footnoteReference w:id="19893"/>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FootnoteReference"/>
        </w:rPr>
        <w:footnoteReference w:id="10533"/>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FootnoteReference"/>
        </w:rPr>
        <w:footnoteReference w:id="10833"/>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FootnoteReference"/>
        </w:rPr>
        <w:footnoteReference w:id="25181"/>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just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FootnoteReference"/>
        </w:rPr>
        <w:footnoteReference w:id="31126"/>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FootnoteReference"/>
        </w:rPr>
        <w:footnoteReference w:id="28693"/>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FootnoteReference"/>
        </w:rPr>
        <w:footnoteReference w:id="14492"/>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FootnoteReference"/>
        </w:rPr>
        <w:footnoteReference w:id="20776"/>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FootnoteReference"/>
        </w:rPr>
        <w:footnoteReference w:id="24546"/>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welcomes a prophet because they are a prophet will receive a prophet’s reward, and whoever welcomes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FootnoteReference"/>
        </w:rPr>
        <w:footnoteReference w:id="24928"/>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FootnoteReference"/>
        </w:rPr>
        <w:footnoteReference w:id="16343"/>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FootnoteReference"/>
        </w:rPr>
        <w:footnoteReference w:id="27205"/>
      </w:r>
      <w:r>
        <w:rPr>
          <w:rStyle w:val="rOTQuote"/>
        </w:rPr>
        <w:t xml:space="preserve"> who will prepare the road before you.</w:t>
      </w:r>
      <w:r>
        <w:rPr>
          <w:rStyle w:val="FootnoteReference"/>
        </w:rPr>
        <w:footnoteReference w:id="26845"/>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FootnoteReference"/>
        </w:rPr>
        <w:footnoteReference w:id="31618"/>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FootnoteReference"/>
        </w:rPr>
        <w:footnoteReference w:id="19437"/>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FootnoteReference"/>
        </w:rPr>
        <w:footnoteReference w:id="20451"/>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FootnoteReference"/>
        </w:rPr>
        <w:footnoteReference w:id="13558"/>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FootnoteReference"/>
        </w:rPr>
        <w:footnoteReference w:id="24459"/>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FootnoteReference"/>
        </w:rPr>
        <w:footnoteReference w:id="27707"/>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FootnoteReference"/>
        </w:rPr>
        <w:footnoteReference w:id="18597"/>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FootnoteReference"/>
        </w:rPr>
        <w:footnoteReference w:id="13143"/>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FootnoteReference"/>
        </w:rPr>
        <w:footnoteReference w:id="10806"/>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FootnoteReference"/>
        </w:rPr>
        <w:footnoteReference w:id="24716"/>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FootnoteReference"/>
        </w:rPr>
        <w:footnoteReference w:id="30292"/>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FootnoteReference"/>
        </w:rPr>
        <w:footnoteReference w:id="14758"/>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so that what was spoken through the prophet was fulfilled, saying, </w:t>
      </w:r>
      <w:r>
        <w:rPr>
          <w:rStyle w:val="rOTQuote"/>
        </w:rPr>
        <w:t xml:space="preserve">I will open my mouth in parables; I will utter things hidden from the foundation of the world</w:t>
      </w:r>
      <w:r>
        <w:rPr/>
        <w:t xml:space="preserve">.</w:t>
      </w:r>
      <w:r>
        <w:rPr>
          <w:rStyle w:val="FootnoteReference"/>
        </w:rPr>
        <w:footnoteReference w:id="14836"/>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FootnoteReference"/>
        </w:rPr>
        <w:footnoteReference w:id="25102"/>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w:t>
      </w:r>
      <w:r>
        <w:rPr>
          <w:rStyle w:val="FootnoteReference"/>
        </w:rPr>
        <w:footnoteReference w:id="26864"/>
      </w:r>
      <w:r>
        <w:rPr/>
        <w:t xml:space="preserve"> </w:t>
      </w:r>
      <w:r>
        <w:rPr>
          <w:rStyle w:val="rSupStyle"/>
          <w:vertAlign w:val="superscript"/>
        </w:rPr>
        <w:t xml:space="preserve">42</w:t>
      </w:r>
      <w:r>
        <w:rPr/>
        <w:t xml:space="preserve">and will throw them into the fiery furnace where there will be sobbing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fiery furnace where there will be sobbing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onto the mountain to pray, and when evening had come, he was there alone. </w:t>
      </w:r>
      <w:r>
        <w:rPr>
          <w:rStyle w:val="rSupStyle"/>
          <w:vertAlign w:val="superscript"/>
        </w:rPr>
        <w:t xml:space="preserve">24</w:t>
      </w:r>
      <w:r>
        <w:rPr/>
        <w:t xml:space="preserve">But the boat was already a long way from the land and was being beaten by the waves because the wind was against them. </w:t>
      </w:r>
      <w:r>
        <w:rPr>
          <w:rStyle w:val="rSupStyle"/>
          <w:vertAlign w:val="superscript"/>
        </w:rPr>
        <w:t xml:space="preserve">25</w:t>
      </w:r>
      <w:r>
        <w:rPr/>
        <w:t xml:space="preserve">And in the fourth watch of the night he came to them,</w:t>
      </w:r>
      <w:r>
        <w:rPr>
          <w:rStyle w:val="FootnoteReference"/>
        </w:rPr>
        <w:footnoteReference w:id="16679"/>
      </w:r>
      <w:r>
        <w:rPr/>
        <w:t xml:space="preserve"> walking on the lake.</w:t>
      </w:r>
      <w:r>
        <w:rPr>
          <w:rStyle w:val="FootnoteReference"/>
        </w:rPr>
        <w:footnoteReference w:id="24887"/>
      </w:r>
      <w:r>
        <w:rPr/>
        <w:t xml:space="preserve"> </w:t>
      </w:r>
      <w:r>
        <w:rPr>
          <w:rStyle w:val="rSupStyle"/>
          <w:vertAlign w:val="superscript"/>
        </w:rPr>
        <w:t xml:space="preserve">26</w:t>
      </w:r>
      <w:r>
        <w:rPr/>
        <w:t xml:space="preserve">And when the disciples saw him walking on the lake, they were terrified, saying, “It’s a ghost!” And they cried out in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got out of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grabbed hold of him and said to him, “You of little trust, why did you doubt?” </w:t>
      </w:r>
      <w:r>
        <w:rPr>
          <w:rStyle w:val="rSupStyle"/>
          <w:vertAlign w:val="superscript"/>
        </w:rPr>
        <w:t xml:space="preserve">32</w:t>
      </w:r>
      <w:r>
        <w:rPr/>
        <w:t xml:space="preserve">And when they got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just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FootnoteReference"/>
        </w:rPr>
        <w:footnoteReference w:id="21329"/>
      </w:r>
      <w:r>
        <w:rPr/>
        <w:t xml:space="preserve"> and, Whoever </w:t>
      </w:r>
      <w:r>
        <w:rPr>
          <w:rStyle w:val="rOTQuote"/>
        </w:rPr>
        <w:t xml:space="preserve">speaks evil of his father or mother, let him be put to death</w:t>
      </w:r>
      <w:r>
        <w:rPr/>
        <w:t xml:space="preserve">.</w:t>
      </w:r>
      <w:r>
        <w:rPr>
          <w:rStyle w:val="FootnoteReference"/>
        </w:rPr>
        <w:footnoteReference w:id="24008"/>
      </w:r>
      <w:r>
        <w:rPr/>
        <w:t xml:space="preserve"> </w:t>
      </w:r>
      <w:r>
        <w:rPr>
          <w:rStyle w:val="rSupStyle"/>
          <w:vertAlign w:val="superscript"/>
        </w:rPr>
        <w:t xml:space="preserve">5</w:t>
      </w:r>
      <w:r>
        <w:rPr/>
        <w:t xml:space="preserve">But you say, ‘Whoever says to his father or mother, “Whatever </w:t>
      </w:r>
      <w:r>
        <w:rPr>
          <w:i/>
          <w:iCs/>
        </w:rPr>
        <w:t xml:space="preserve">benefit</w:t>
      </w:r>
      <w:r>
        <w:rPr/>
        <w:t xml:space="preserve"> you might have gained from me is a gift </w:t>
      </w:r>
      <w:r>
        <w:rPr>
          <w:i/>
          <w:iCs/>
        </w:rPr>
        <w:t xml:space="preserve">already devoted to God,</w:t>
      </w:r>
      <w:r>
        <w:rPr/>
        <w:t xml:space="preserve">” </w:t>
      </w:r>
      <w:r>
        <w:rPr>
          <w:rStyle w:val="rSupStyle"/>
          <w:vertAlign w:val="superscript"/>
        </w:rPr>
        <w:t xml:space="preserve">6</w:t>
      </w:r>
      <w:r>
        <w:rPr/>
        <w:t xml:space="preserve">does not </w:t>
      </w:r>
      <w:r>
        <w:rPr>
          <w:i/>
          <w:iCs/>
        </w:rPr>
        <w:t xml:space="preserve">need to</w:t>
      </w:r>
      <w:r>
        <w:rPr/>
        <w:t xml:space="preserve"> honor his father </w:t>
      </w:r>
      <w:r>
        <w:rPr>
          <w:i/>
          <w:iCs/>
        </w:rPr>
        <w:t xml:space="preserve">or mother</w:t>
      </w:r>
      <w:r>
        <w:rPr/>
        <w:t xml:space="preserve">.’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Isaiah prophesied correctly about you when he said,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FootnoteReference"/>
        </w:rPr>
        <w:footnoteReference w:id="10379"/>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“Listen and understand: </w:t>
      </w:r>
      <w:r>
        <w:rPr>
          <w:rStyle w:val="rSupStyle"/>
          <w:vertAlign w:val="superscript"/>
        </w:rPr>
        <w:t xml:space="preserve">11</w:t>
      </w:r>
      <w:r>
        <w:rPr>
          <w:i/>
          <w:iCs/>
        </w:rPr>
        <w:t xml:space="preserve">it is</w:t>
      </w:r>
      <w:r>
        <w:rPr/>
        <w:t xml:space="preserve"> not what goes into the mouth that defiles a person, but what comes out of the mouth—this defiles a person.” </w:t>
      </w:r>
      <w:r>
        <w:rPr>
          <w:rStyle w:val="rSupStyle"/>
          <w:vertAlign w:val="superscript"/>
        </w:rPr>
        <w:t xml:space="preserve">12</w:t>
      </w:r>
      <w:r>
        <w:rPr/>
        <w:t xml:space="preserve">Then the disciples came and said to him, “Do you know that the Pharisees were offended when they heard this saying?” </w:t>
      </w:r>
      <w:r>
        <w:rPr>
          <w:rStyle w:val="rSupStyle"/>
          <w:vertAlign w:val="superscript"/>
        </w:rPr>
        <w:t xml:space="preserve">13</w:t>
      </w:r>
      <w:r>
        <w:rPr/>
        <w:t xml:space="preserve">But he answered and said, “Every plant that my heavenly Father has not planted will be uprooted.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replied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a person. </w:t>
      </w:r>
      <w:r>
        <w:rPr>
          <w:rStyle w:val="rSupStyle"/>
          <w:vertAlign w:val="superscript"/>
        </w:rPr>
        <w:t xml:space="preserve">19</w:t>
      </w:r>
      <w:r>
        <w:rPr/>
        <w:t xml:space="preserve">For out of the heart come evil thoughts, murder, adultery, sexual immorality, theft, false testimony, insults. </w:t>
      </w:r>
      <w:r>
        <w:rPr>
          <w:rStyle w:val="rSupStyle"/>
          <w:vertAlign w:val="superscript"/>
        </w:rPr>
        <w:t xml:space="preserve">20</w:t>
      </w:r>
      <w:r>
        <w:rPr/>
        <w:t xml:space="preserve">These are the things that defile a person, but eating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from that region came and began crying out, saying, “Have mercy on me, O Lord, Son of David, my daughter is severely afflicted by a demon.” </w:t>
      </w:r>
      <w:r>
        <w:rPr>
          <w:rStyle w:val="rSupStyle"/>
          <w:vertAlign w:val="superscript"/>
        </w:rPr>
        <w:t xml:space="preserve">23</w:t>
      </w:r>
      <w:r>
        <w:rPr/>
        <w:t xml:space="preserve">But he did not answer her, </w:t>
      </w:r>
      <w:r>
        <w:rPr>
          <w:i/>
          <w:iCs/>
        </w:rPr>
        <w:t xml:space="preserve">not even</w:t>
      </w:r>
      <w:r>
        <w:rPr/>
        <w:t xml:space="preserve"> a word. And his disciples came and kept asking him, saying, “Send her away, because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pet dogs eat the crumbs that fall from their owners’ table.” </w:t>
      </w:r>
      <w:r>
        <w:rPr>
          <w:rStyle w:val="rSupStyle"/>
          <w:vertAlign w:val="superscript"/>
        </w:rPr>
        <w:t xml:space="preserve">28</w:t>
      </w:r>
      <w:r>
        <w:rPr/>
        <w:t xml:space="preserve">Then Jesus replied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bringing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enough loaves </w:t>
      </w:r>
      <w:r>
        <w:rPr>
          <w:i/>
          <w:iCs/>
        </w:rPr>
        <w:t xml:space="preserve">of bread</w:t>
      </w:r>
      <w:r>
        <w:rPr/>
        <w:t xml:space="preserve"> in </w:t>
      </w:r>
      <w:r>
        <w:rPr>
          <w:i/>
          <w:iCs/>
        </w:rPr>
        <w:t xml:space="preserve">this</w:t>
      </w:r>
      <w:r>
        <w:rPr/>
        <w:t xml:space="preserve"> remote place to satisfy such a large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there were 4,000 men who ate, not counting women and children. </w:t>
      </w:r>
      <w:r>
        <w:rPr>
          <w:rStyle w:val="rSupStyle"/>
          <w:vertAlign w:val="superscript"/>
        </w:rPr>
        <w:t xml:space="preserve">39</w:t>
      </w:r>
      <w:r>
        <w:rPr/>
        <w:t xml:space="preserve">And after sending away the crowd, he got into the boat and went into the region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w:t>
      </w:r>
      <w:r>
        <w:rPr>
          <w:i/>
          <w:iCs/>
        </w:rPr>
        <w:t xml:space="preserve">and</w:t>
      </w:r>
      <w:r>
        <w:rPr/>
        <w:t xml:space="preserve"> in order to test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because the sky is red.’ </w:t>
      </w:r>
      <w:r>
        <w:rPr>
          <w:rStyle w:val="rSupStyle"/>
          <w:vertAlign w:val="superscript"/>
        </w:rPr>
        <w:t xml:space="preserve">3</w:t>
      </w:r>
      <w:r>
        <w:rPr/>
        <w:t xml:space="preserve">And in the morning, ‘</w:t>
      </w:r>
      <w:r>
        <w:rPr>
          <w:i/>
          <w:iCs/>
        </w:rPr>
        <w:t xml:space="preserve">It will be</w:t>
      </w:r>
      <w:r>
        <w:rPr/>
        <w:t xml:space="preserve"> bad weather today because the sky is red and becoming dark.’ You know how to interpret the appearance of the sky, but you are not able </w:t>
      </w:r>
      <w:r>
        <w:rPr>
          <w:i/>
          <w:iCs/>
        </w:rPr>
        <w:t xml:space="preserve">to interpret</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FootnoteReference"/>
        </w:rPr>
        <w:footnoteReference w:id="18573"/>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when Jesus realized this, he said, “O you of little trust, why are you discussing among yourselves </w:t>
      </w:r>
      <w:r>
        <w:rPr>
          <w:i/>
          <w:iCs/>
        </w:rPr>
        <w:t xml:space="preserve">the fact</w:t>
      </w:r>
      <w:r>
        <w:rPr/>
        <w:t xml:space="preserve"> that you don’t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do you not understand that I was not speaking to you about bread? But </w:t>
      </w:r>
      <w:r>
        <w:rPr>
          <w:i/>
          <w:iCs/>
        </w:rPr>
        <w:t xml:space="preserve">again</w:t>
      </w:r>
      <w:r>
        <w:rPr/>
        <w:t xml:space="preserve"> </w:t>
      </w:r>
      <w:r>
        <w:rPr>
          <w:i/>
          <w:iCs/>
        </w:rPr>
        <w:t xml:space="preserve">I say</w:t>
      </w:r>
      <w:r>
        <w:rPr/>
        <w:t xml:space="preserve">, beware of the leaven of the Pharisees and Sadducees.” </w:t>
      </w:r>
      <w:r>
        <w:rPr>
          <w:rStyle w:val="rSupStyle"/>
          <w:vertAlign w:val="superscript"/>
        </w:rPr>
        <w:t xml:space="preserve">12</w:t>
      </w:r>
      <w:r>
        <w:rPr/>
        <w:t xml:space="preserve">Then they understood that he was not telling them to beware of the leaven in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FootnoteReference"/>
        </w:rPr>
        <w:footnoteReference w:id="15746"/>
      </w:r>
      <w:r>
        <w:rPr/>
        <w:t xml:space="preserve"> the Son of the living God.” </w:t>
      </w:r>
      <w:r>
        <w:rPr>
          <w:rStyle w:val="rSupStyle"/>
          <w:vertAlign w:val="superscript"/>
        </w:rPr>
        <w:t xml:space="preserve">17</w:t>
      </w:r>
      <w:r>
        <w:rPr/>
        <w:t xml:space="preserve">And Jesus answered and said to him, “Blessed are you, Simon Bar-jonah, because flesh and blood has not revealed this to you, but my Father who is in heaven. </w:t>
      </w:r>
      <w:r>
        <w:rPr>
          <w:rStyle w:val="rSupStyle"/>
          <w:vertAlign w:val="superscript"/>
        </w:rPr>
        <w:t xml:space="preserve">18</w:t>
      </w:r>
      <w:r>
        <w:rPr/>
        <w:t xml:space="preserve">And I also say to you that you are Peter, and on this rock I will build my church, and the gates of the grave will not be strong enough to keep it</w:t>
      </w:r>
      <w:r>
        <w:rPr>
          <w:rStyle w:val="FootnoteReference"/>
        </w:rPr>
        <w:footnoteReference w:id="29912"/>
      </w:r>
      <w:r>
        <w:rPr/>
        <w:t xml:space="preserve"> </w:t>
      </w:r>
      <w:r>
        <w:rPr>
          <w:i/>
          <w:iCs/>
        </w:rPr>
        <w:t xml:space="preserve">imprisoned</w:t>
      </w:r>
      <w:r>
        <w:rPr/>
        <w:t xml:space="preserve">.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to tell no 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then on Jesus began to make known to his disciples that he must go to Jerusalem and suffer many things from the elders and chief priests and experts in the law, and be killed, and on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“That can’t be,</w:t>
      </w:r>
      <w:r>
        <w:rPr>
          <w:rStyle w:val="FootnoteReference"/>
        </w:rPr>
        <w:footnoteReference w:id="21163"/>
      </w:r>
      <w:r>
        <w:rPr/>
        <w:t xml:space="preserve"> Lord! This will never, ever, happen to you.” </w:t>
      </w:r>
      <w:r>
        <w:rPr>
          <w:rStyle w:val="rSupStyle"/>
          <w:vertAlign w:val="superscript"/>
        </w:rPr>
        <w:t xml:space="preserve">23</w:t>
      </w:r>
      <w:r>
        <w:rPr/>
        <w:t xml:space="preserve">But he turned and said to Peter, “Get out of my way,</w:t>
      </w:r>
      <w:r>
        <w:rPr>
          <w:rStyle w:val="FootnoteReference"/>
        </w:rPr>
        <w:footnoteReference w:id="11876"/>
      </w:r>
      <w:r>
        <w:rPr/>
        <w:t xml:space="preserve"> Adversary! You are a hindrance to me because you are not thinking about God’s purposes, but about human interests.”</w:t>
      </w:r>
      <w:r>
        <w:rPr>
          <w:rStyle w:val="FootnoteReference"/>
        </w:rPr>
        <w:footnoteReference w:id="29796"/>
      </w:r>
      <w:r>
        <w:rPr/>
        <w:t xml:space="preserve"> </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be a follower of mine,</w:t>
      </w:r>
      <w:r>
        <w:rPr>
          <w:rStyle w:val="FootnoteReference"/>
        </w:rPr>
        <w:footnoteReference w:id="22450"/>
      </w:r>
      <w:r>
        <w:rPr/>
        <w:t xml:space="preserve"> he must deny himself and must take up his cross and follow me. </w:t>
      </w:r>
      <w:r>
        <w:rPr>
          <w:rStyle w:val="rSupStyle"/>
          <w:vertAlign w:val="superscript"/>
        </w:rPr>
        <w:t xml:space="preserve">25</w:t>
      </w:r>
      <w:r>
        <w:rPr/>
        <w:t xml:space="preserve">For whoever wants to save his life</w:t>
      </w:r>
      <w:r>
        <w:rPr>
          <w:rStyle w:val="FootnoteReference"/>
        </w:rPr>
        <w:footnoteReference w:id="13436"/>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going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standing here who will absolutely not experience death</w:t>
      </w:r>
      <w:r>
        <w:rPr>
          <w:rStyle w:val="FootnoteReference"/>
        </w:rPr>
        <w:footnoteReference w:id="17752"/>
      </w:r>
      <w:r>
        <w:rPr/>
        <w:t xml:space="preserve">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up onto a high mountain by themselves. </w:t>
      </w:r>
      <w:r>
        <w:rPr>
          <w:rStyle w:val="rSupStyle"/>
          <w:vertAlign w:val="superscript"/>
        </w:rPr>
        <w:t xml:space="preserve">2</w:t>
      </w:r>
      <w:r>
        <w:rPr/>
        <w:t xml:space="preserve">And he was transformed in front of them, and his face was shining like the sun, and his clothing became as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Then Peter responded and said to Jesus, “Lord, it’s good that we are here! If you want, I will make three tents here: one for you,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FootnoteReference"/>
        </w:rPr>
        <w:footnoteReference w:id="26477"/>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FootnoteReference"/>
        </w:rPr>
        <w:footnoteReference w:id="26979"/>
      </w:r>
      <w:r>
        <w:rPr/>
        <w:t xml:space="preserve"> hung around his neck, and to be drowned in the depth of the lake.</w:t>
      </w:r>
      <w:r>
        <w:rPr>
          <w:rStyle w:val="FootnoteReference"/>
        </w:rPr>
        <w:footnoteReference w:id="24690"/>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FootnoteReference"/>
        </w:rPr>
        <w:footnoteReference w:id="26468"/>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FootnoteReference"/>
        </w:rPr>
        <w:footnoteReference w:id="28746"/>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FootnoteReference"/>
        </w:rPr>
        <w:footnoteReference w:id="26776"/>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FootnoteReference"/>
        </w:rPr>
        <w:footnoteReference w:id="31649"/>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FootnoteReference"/>
        </w:rPr>
        <w:footnoteReference w:id="32178"/>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t xml:space="preserve">”</w:t>
      </w:r>
      <w:r>
        <w:rPr>
          <w:rStyle w:val="FootnoteReference"/>
        </w:rPr>
        <w:footnoteReference w:id="17132"/>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FootnoteReference"/>
        </w:rPr>
        <w:footnoteReference w:id="10731"/>
      </w:r>
      <w:r>
        <w:rPr/>
        <w:t xml:space="preserve"> a day, he sent them into his vineyard. </w:t>
      </w:r>
      <w:r>
        <w:rPr>
          <w:rStyle w:val="rSupStyle"/>
          <w:vertAlign w:val="superscript"/>
        </w:rPr>
        <w:t xml:space="preserve">3</w:t>
      </w:r>
      <w:r>
        <w:rPr/>
        <w:t xml:space="preserve">And he went out about the third hour</w:t>
      </w:r>
      <w:r>
        <w:rPr>
          <w:rStyle w:val="FootnoteReference"/>
        </w:rPr>
        <w:footnoteReference w:id="13029"/>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FootnoteReference"/>
        </w:rPr>
        <w:footnoteReference w:id="18919"/>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FootnoteReference"/>
        </w:rPr>
        <w:footnoteReference w:id="24364"/>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FootnoteReference"/>
        </w:rPr>
        <w:footnoteReference w:id="11725"/>
      </w:r>
      <w:r>
        <w:rPr/>
        <w:t xml:space="preserve"> to the Son of David! </w:t>
      </w:r>
      <w:r>
        <w:rPr>
          <w:rStyle w:val="rOTQuote"/>
        </w:rPr>
        <w:t xml:space="preserve">Blessed is he who comes in the name of the Lord!</w:t>
      </w:r>
      <w:r>
        <w:rPr>
          <w:rStyle w:val="FootnoteReference"/>
        </w:rPr>
        <w:footnoteReference w:id="22651"/>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FootnoteReference"/>
        </w:rPr>
        <w:footnoteReference w:id="10604"/>
      </w:r>
      <w:r>
        <w:rPr/>
        <w:t xml:space="preserve"> but you are making it </w:t>
      </w:r>
      <w:r>
        <w:rPr>
          <w:rStyle w:val="rOTQuote"/>
        </w:rPr>
        <w:t xml:space="preserve">a den of robbers</w:t>
      </w:r>
      <w:r>
        <w:rPr/>
        <w:t xml:space="preserve">.</w:t>
      </w:r>
      <w:r>
        <w:rPr>
          <w:rStyle w:val="FootnoteReference"/>
        </w:rPr>
        <w:footnoteReference w:id="24043"/>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FootnoteReference"/>
        </w:rPr>
        <w:footnoteReference w:id="19049"/>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FootnoteReference"/>
        </w:rPr>
        <w:footnoteReference w:id="32457"/>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FootnoteReference"/>
        </w:rPr>
        <w:footnoteReference w:id="13029"/>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FootnoteReference"/>
        </w:rPr>
        <w:footnoteReference w:id="32226"/>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FootnoteReference"/>
        </w:rPr>
        <w:footnoteReference w:id="18427"/>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FootnoteReference"/>
        </w:rPr>
        <w:footnoteReference w:id="28395"/>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18819"/>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FootnoteReference"/>
        </w:rPr>
        <w:footnoteReference w:id="30411"/>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FootnoteReference"/>
        </w:rPr>
        <w:footnoteReference w:id="19088"/>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FootnoteReference"/>
        </w:rPr>
        <w:footnoteReference w:id="12914"/>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FootnoteReference"/>
        </w:rPr>
        <w:footnoteReference w:id="25010"/>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FootnoteReference"/>
        </w:rPr>
        <w:footnoteReference w:id="30572"/>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FootnoteReference"/>
        </w:rPr>
        <w:footnoteReference w:id="24093"/>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FootnoteReference"/>
        </w:rPr>
        <w:footnoteReference w:id="19671"/>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FootnoteReference"/>
        </w:rPr>
        <w:footnoteReference w:id="13429"/>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FootnoteReference"/>
        </w:rPr>
        <w:footnoteReference w:id="27340"/>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FootnoteReference"/>
        </w:rPr>
        <w:footnoteReference w:id="18468"/>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FootnoteReference"/>
        </w:rPr>
        <w:footnoteReference w:id="25748"/>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FootnoteReference"/>
        </w:rPr>
        <w:footnoteReference w:id="10655"/>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FootnoteReference"/>
        </w:rPr>
        <w:footnoteReference w:id="16332"/>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FootnoteReference"/>
        </w:rPr>
        <w:footnoteReference w:id="27011"/>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FootnoteReference"/>
        </w:rPr>
        <w:footnoteReference w:id="12449"/>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FootnoteReference"/>
        </w:rPr>
        <w:footnoteReference w:id="13139"/>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FootnoteReference"/>
        </w:rPr>
        <w:footnoteReference w:id="18176"/>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FootnoteReference"/>
        </w:rPr>
        <w:footnoteReference w:id="25997"/>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FootnoteReference"/>
        </w:rPr>
        <w:footnoteReference w:id="22355"/>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FootnoteReference"/>
        </w:rPr>
        <w:footnoteReference w:id="14062"/>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FootnoteReference"/>
        </w:rPr>
        <w:footnoteReference w:id="15626"/>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FootnoteReference"/>
        </w:rPr>
        <w:footnoteReference w:id="26978"/>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FootnoteReference"/>
        </w:rPr>
        <w:footnoteReference w:id="15632"/>
      </w:r>
      <w:r>
        <w:rPr/>
        <w:t xml:space="preserve"> and gathered the whole cohort</w:t>
      </w:r>
      <w:r>
        <w:rPr>
          <w:rStyle w:val="FootnoteReference"/>
        </w:rPr>
        <w:footnoteReference w:id="24161"/>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themselves</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FootnoteReference"/>
        </w:rPr>
        <w:footnoteReference w:id="21501"/>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FootnoteReference"/>
        </w:rPr>
        <w:footnoteReference w:id="25633"/>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FootnoteReference"/>
        </w:rPr>
        <w:footnoteReference w:id="28062"/>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FootnoteReference"/>
        </w:rPr>
        <w:footnoteReference w:id="24268"/>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115468680f470a52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419003"/>
      <w:docPartObj>
        <w:docPartGallery w:val="Page Numbers (Bottom of Page)"/>
        <w:docPartUnique/>
      </w:docPartObj>
    </w:sdtPr>
    <w:sdtContent>
      <w:sdt>
        <w:sdtPr>
          <w:id w:val="9273402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400">
    <w:p>
      <w:pPr>
        <w:pStyle w:val="FootnoteText"/>
      </w:pPr>
      <w:r>
        <w:rPr>
          <w:rStyle w:val="FootnoteReference"/>
        </w:rPr>
        <w:footnoteRef/>
      </w:r>
      <w:r>
        <w:t xml:space="preserve">
          <w:r>
            <w:t xml:space="preserve">
              <w:r>
                <w:t xml:space="preserve"> Lit. “scroll”</w:t>
              </w:r>
            </w:t>
          </w:r>
        </w:t>
      </w:r>
    </w:p>
  </w:footnote>
  <w:footnote w:id="10550">
    <w:p>
      <w:pPr>
        <w:pStyle w:val="FootnoteText"/>
      </w:pPr>
      <w:r>
        <w:rPr>
          <w:rStyle w:val="FootnoteReference"/>
        </w:rPr>
        <w:footnoteRef/>
      </w:r>
      <w:r>
        <w:t xml:space="preserve">
          <w:r>
            <w:t xml:space="preserve">
              <w:r>
                <w:t xml:space="preserve"> Lit. “the Anointed One”</w:t>
              </w:r>
            </w:t>
          </w:r>
        </w:t>
      </w:r>
    </w:p>
  </w:footnote>
  <w:footnote w:id="16892">
    <w:p>
      <w:pPr>
        <w:pStyle w:val="FootnoteText"/>
      </w:pPr>
      <w:r>
        <w:rPr>
          <w:rStyle w:val="FootnoteReference"/>
        </w:rPr>
        <w:footnoteRef/>
      </w:r>
      <w:r>
        <w:t xml:space="preserve">
          <w:r>
            <w:t xml:space="preserve">
              <w:r>
                <w:t xml:space="preserve"> Lit. “man/male”</w:t>
              </w:r>
            </w:t>
          </w:r>
        </w:t>
      </w:r>
    </w:p>
  </w:footnote>
  <w:footnote w:id="10650">
    <w:p>
      <w:pPr>
        <w:pStyle w:val="FootnoteText"/>
      </w:pPr>
      <w:r>
        <w:rPr>
          <w:rStyle w:val="FootnoteReference"/>
        </w:rPr>
        <w:footnoteRef/>
      </w:r>
      <w:r>
        <w:t xml:space="preserve">
          <w:r>
            <w:t xml:space="preserve">
              <w:r>
                <w:t xml:space="preserve"> Or “by”</w:t>
              </w:r>
            </w:t>
          </w:r>
        </w:t>
      </w:r>
    </w:p>
  </w:footnote>
  <w:footnote w:id="31160">
    <w:p>
      <w:pPr>
        <w:pStyle w:val="FootnoteText"/>
      </w:pPr>
      <w:r>
        <w:rPr>
          <w:rStyle w:val="FootnoteReference"/>
        </w:rPr>
        <w:footnoteRef/>
      </w:r>
      <w:r>
        <w:t xml:space="preserve">
          <w:r>
            <w:t xml:space="preserve">
              <w:r>
                <w:t xml:space="preserve"> From Isa. 7:14</w:t>
              </w:r>
            </w:t>
          </w:r>
        </w:t>
      </w:r>
    </w:p>
  </w:footnote>
  <w:footnote w:id="25594">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27654">
    <w:p>
      <w:pPr>
        <w:pStyle w:val="FootnoteText"/>
      </w:pPr>
      <w:r>
        <w:rPr>
          <w:rStyle w:val="FootnoteReference"/>
        </w:rPr>
        <w:footnoteRef/>
      </w:r>
      <w:r>
        <w:t xml:space="preserve">
          <w:r>
            <w:t xml:space="preserve">
              <w:r>
                <w:t xml:space="preserve"> The nation of Israel was called “the People,” so it is appropriate to capitalize it when it refers to Israel. Israel was “the People” of God.</w:t>
              </w:r>
            </w:t>
          </w:r>
        </w:t>
      </w:r>
    </w:p>
  </w:footnote>
  <w:footnote w:id="13283">
    <w:p>
      <w:pPr>
        <w:pStyle w:val="FootnoteText"/>
      </w:pPr>
      <w:r>
        <w:rPr>
          <w:rStyle w:val="FootnoteReference"/>
        </w:rPr>
        <w:footnoteRef/>
      </w:r>
      <w:r>
        <w:t xml:space="preserve">
          <w:r>
            <w:t xml:space="preserve">
              <w:r>
                <w:t xml:space="preserve"> Lit. “the Anointed One”</w:t>
              </w:r>
            </w:t>
          </w:r>
        </w:t>
      </w:r>
    </w:p>
  </w:footnote>
  <w:footnote w:id="16749">
    <w:p>
      <w:pPr>
        <w:pStyle w:val="FootnoteText"/>
      </w:pPr>
      <w:r>
        <w:rPr>
          <w:rStyle w:val="FootnoteReference"/>
        </w:rPr>
        <w:footnoteRef/>
      </w:r>
      <w:r>
        <w:t xml:space="preserve">
          <w:r>
            <w:t xml:space="preserve">
              <w:r>
                <w:t xml:space="preserve"> From Micah 5:2</w:t>
              </w:r>
            </w:t>
          </w:r>
        </w:t>
      </w:r>
    </w:p>
  </w:footnote>
  <w:footnote w:id="17134">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7588">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12190">
    <w:p>
      <w:pPr>
        <w:pStyle w:val="FootnoteText"/>
      </w:pPr>
      <w:r>
        <w:rPr>
          <w:rStyle w:val="FootnoteReference"/>
        </w:rPr>
        <w:footnoteRef/>
      </w:r>
      <w:r>
        <w:t xml:space="preserve">
          <w:r>
            <w:t xml:space="preserve">
              <w:r>
                <w:t xml:space="preserve"> From Hosea 11:1</w:t>
              </w:r>
            </w:t>
          </w:r>
        </w:t>
      </w:r>
    </w:p>
  </w:footnote>
  <w:footnote w:id="27009">
    <w:p>
      <w:pPr>
        <w:pStyle w:val="FootnoteText"/>
      </w:pPr>
      <w:r>
        <w:rPr>
          <w:rStyle w:val="FootnoteReference"/>
        </w:rPr>
        <w:footnoteRef/>
      </w:r>
      <w:r>
        <w:t xml:space="preserve">
          <w:r>
            <w:t xml:space="preserve">
              <w:r>
                <w:t xml:space="preserve"> From Jer. 31:15</w:t>
              </w:r>
            </w:t>
          </w:r>
        </w:t>
      </w:r>
    </w:p>
  </w:footnote>
  <w:footnote w:id="25378">
    <w:p>
      <w:pPr>
        <w:pStyle w:val="FootnoteText"/>
      </w:pPr>
      <w:r>
        <w:rPr>
          <w:rStyle w:val="FootnoteReference"/>
        </w:rPr>
        <w:footnoteRef/>
      </w:r>
      <w:r>
        <w:t xml:space="preserve">
          <w:r>
            <w:t xml:space="preserve">
              <w:r>
                <w:t xml:space="preserve"> Lit. “came to his end”</w:t>
              </w:r>
            </w:t>
          </w:r>
        </w:t>
      </w:r>
    </w:p>
  </w:footnote>
  <w:footnote w:id="21737">
    <w:p>
      <w:pPr>
        <w:pStyle w:val="FootnoteText"/>
      </w:pPr>
      <w:r>
        <w:rPr>
          <w:rStyle w:val="FootnoteReference"/>
        </w:rPr>
        <w:footnoteRef/>
      </w:r>
      <w:r>
        <w:t xml:space="preserve">
          <w:r>
            <w:t xml:space="preserve">
              <w:r>
                <w:t xml:space="preserve"> From Isa. 40:3</w:t>
              </w:r>
            </w:t>
          </w:r>
        </w:t>
      </w:r>
    </w:p>
  </w:footnote>
  <w:footnote w:id="16619">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21519">
    <w:p>
      <w:pPr>
        <w:pStyle w:val="FootnoteText"/>
      </w:pPr>
      <w:r>
        <w:rPr>
          <w:rStyle w:val="FootnoteReference"/>
        </w:rPr>
        <w:footnoteRef/>
      </w:r>
      <w:r>
        <w:t xml:space="preserve">
          <w:r>
            <w:t xml:space="preserve">
              <w:r>
                <w:t xml:space="preserve"> Lit. “went up”</w:t>
              </w:r>
            </w:t>
          </w:r>
        </w:t>
      </w:r>
    </w:p>
  </w:footnote>
  <w:footnote w:id="31716">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4312">
    <w:p>
      <w:pPr>
        <w:pStyle w:val="FootnoteText"/>
      </w:pPr>
      <w:r>
        <w:rPr>
          <w:rStyle w:val="FootnoteReference"/>
        </w:rPr>
        <w:footnoteRef/>
      </w:r>
      <w:r>
        <w:t xml:space="preserve">
          <w:r>
            <w:t xml:space="preserve">
              <w:r>
                <w:t xml:space="preserve"> “Man” refers to humankind.</w:t>
              </w:r>
            </w:t>
          </w:r>
        </w:t>
      </w:r>
    </w:p>
  </w:footnote>
  <w:footnote w:id="30726">
    <w:p>
      <w:pPr>
        <w:pStyle w:val="FootnoteText"/>
      </w:pPr>
      <w:r>
        <w:rPr>
          <w:rStyle w:val="FootnoteReference"/>
        </w:rPr>
        <w:footnoteRef/>
      </w:r>
      <w:r>
        <w:t xml:space="preserve">
          <w:r>
            <w:t xml:space="preserve">
              <w:r>
                <w:t xml:space="preserve"> From Deut. 8:3</w:t>
              </w:r>
            </w:t>
          </w:r>
        </w:t>
      </w:r>
    </w:p>
  </w:footnote>
  <w:footnote w:id="27298">
    <w:p>
      <w:pPr>
        <w:pStyle w:val="FootnoteText"/>
      </w:pPr>
      <w:r>
        <w:rPr>
          <w:rStyle w:val="FootnoteReference"/>
        </w:rPr>
        <w:footnoteRef/>
      </w:r>
      <w:r>
        <w:t xml:space="preserve">
          <w:r>
            <w:t xml:space="preserve">
              <w:r>
                <w:t xml:space="preserve"> From Ps. 91:11-12</w:t>
              </w:r>
            </w:t>
          </w:r>
        </w:t>
      </w:r>
    </w:p>
  </w:footnote>
  <w:footnote w:id="10442">
    <w:p>
      <w:pPr>
        <w:pStyle w:val="FootnoteText"/>
      </w:pPr>
      <w:r>
        <w:rPr>
          <w:rStyle w:val="FootnoteReference"/>
        </w:rPr>
        <w:footnoteRef/>
      </w:r>
      <w:r>
        <w:t xml:space="preserve">
          <w:r>
            <w:t xml:space="preserve">
              <w:r>
                <w:t xml:space="preserve"> From Deut. 6:16</w:t>
              </w:r>
            </w:t>
          </w:r>
        </w:t>
      </w:r>
    </w:p>
  </w:footnote>
  <w:footnote w:id="32252">
    <w:p>
      <w:pPr>
        <w:pStyle w:val="FootnoteText"/>
      </w:pPr>
      <w:r>
        <w:rPr>
          <w:rStyle w:val="FootnoteReference"/>
        </w:rPr>
        <w:footnoteRef/>
      </w:r>
      <w:r>
        <w:t xml:space="preserve">
          <w:r>
            <w:t xml:space="preserve">
              <w:r>
                <w:t xml:space="preserve"> From Deut. 6:13</w:t>
              </w:r>
            </w:t>
          </w:r>
        </w:t>
      </w:r>
    </w:p>
  </w:footnote>
  <w:footnote w:id="31826">
    <w:p>
      <w:pPr>
        <w:pStyle w:val="FootnoteText"/>
      </w:pPr>
      <w:r>
        <w:rPr>
          <w:rStyle w:val="FootnoteReference"/>
        </w:rPr>
        <w:footnoteRef/>
      </w:r>
      <w:r>
        <w:t xml:space="preserve">
          <w:r>
            <w:t xml:space="preserve">
              <w:r>
                <w:t xml:space="preserve"> This is referring to the “Sea of Galilee.”</w:t>
              </w:r>
            </w:t>
          </w:r>
        </w:t>
      </w:r>
    </w:p>
  </w:footnote>
  <w:footnote w:id="13010">
    <w:p>
      <w:pPr>
        <w:pStyle w:val="FootnoteText"/>
      </w:pPr>
      <w:r>
        <w:rPr>
          <w:rStyle w:val="FootnoteReference"/>
        </w:rPr>
        <w:footnoteRef/>
      </w:r>
      <w:r>
        <w:t xml:space="preserve">
          <w:r>
            <w:t xml:space="preserve">
              <w:r>
                <w:t xml:space="preserve"> Refers to the great road from Egypt to Damascus and beyond called the </w:t>
              </w:r>
              <w:r>
                <w:rPr>
                  <w:i/>
                </w:rPr>
                <w:t xml:space="preserve">Via Maris</w:t>
              </w:r>
              <w:r>
                <w:t xml:space="preserve">.</w:t>
              </w:r>
            </w:t>
          </w:r>
        </w:t>
      </w:r>
    </w:p>
  </w:footnote>
  <w:footnote w:id="12873">
    <w:p>
      <w:pPr>
        <w:pStyle w:val="FootnoteText"/>
      </w:pPr>
      <w:r>
        <w:rPr>
          <w:rStyle w:val="FootnoteReference"/>
        </w:rPr>
        <w:footnoteRef/>
      </w:r>
      <w:r>
        <w:t xml:space="preserve">
          <w:r>
            <w:t xml:space="preserve">
              <w:r>
                <w:t xml:space="preserve"> From Isa. 9:1-2</w:t>
              </w:r>
            </w:t>
          </w:r>
        </w:t>
      </w:r>
    </w:p>
  </w:footnote>
  <w:footnote w:id="15549">
    <w:p>
      <w:pPr>
        <w:pStyle w:val="FootnoteText"/>
      </w:pPr>
      <w:r>
        <w:rPr>
          <w:rStyle w:val="FootnoteReference"/>
        </w:rPr>
        <w:footnoteRef/>
      </w:r>
      <w:r>
        <w:t xml:space="preserve">
          <w:r>
            <w:t xml:space="preserve">
              <w:r>
                <w:t xml:space="preserve"> This is referring to the “Sea of Galilee.”</w:t>
              </w:r>
            </w:t>
          </w:r>
        </w:t>
      </w:r>
    </w:p>
  </w:footnote>
  <w:footnote w:id="30269">
    <w:p>
      <w:pPr>
        <w:pStyle w:val="FootnoteText"/>
      </w:pPr>
      <w:r>
        <w:rPr>
          <w:rStyle w:val="FootnoteReference"/>
        </w:rPr>
        <w:footnoteRef/>
      </w:r>
      <w:r>
        <w:t xml:space="preserve">
          <w:r>
            <w:t xml:space="preserve">
              <w:r>
                <w:t xml:space="preserve"> From Ps. 37:11</w:t>
              </w:r>
            </w:t>
          </w:r>
        </w:t>
      </w:r>
    </w:p>
  </w:footnote>
  <w:footnote w:id="20519">
    <w:p>
      <w:pPr>
        <w:pStyle w:val="FootnoteText"/>
      </w:pPr>
      <w:r>
        <w:rPr>
          <w:rStyle w:val="FootnoteReference"/>
        </w:rPr>
        <w:footnoteRef/>
      </w:r>
      <w:r>
        <w:t xml:space="preserve">
          <w:r>
            <w:t xml:space="preserve">
              <w:r>
                <w:t xml:space="preserve"> Lit. “sons,” here referring to both sons and daughters</w:t>
              </w:r>
            </w:t>
          </w:r>
        </w:t>
      </w:r>
    </w:p>
  </w:footnote>
  <w:footnote w:id="13027">
    <w:p>
      <w:pPr>
        <w:pStyle w:val="FootnoteText"/>
      </w:pPr>
      <w:r>
        <w:rPr>
          <w:rStyle w:val="FootnoteReference"/>
        </w:rPr>
        <w:footnoteRef/>
      </w:r>
      <w:r>
        <w:t xml:space="preserve">
          <w:r>
            <w:t xml:space="preserve">
              <w:r>
                <w:t xml:space="preserve"> Lit. “one iota or one serif.” An </w:t>
              </w:r>
              <w:r>
                <w:rPr>
                  <w:i/>
                </w:rPr>
                <w:t xml:space="preserve">iota</w:t>
              </w:r>
              <w:r>
                <w:t xml:space="preserve"> is the smallest letter of the Greek alphabet, and a serif is the smallest stroke of a letter.</w:t>
              </w:r>
            </w:t>
          </w:r>
        </w:t>
      </w:r>
    </w:p>
  </w:footnote>
  <w:footnote w:id="15177">
    <w:p>
      <w:pPr>
        <w:pStyle w:val="FootnoteText"/>
      </w:pPr>
      <w:r>
        <w:rPr>
          <w:rStyle w:val="FootnoteReference"/>
        </w:rPr>
        <w:footnoteRef/>
      </w:r>
      <w:r>
        <w:t xml:space="preserve">
          <w:r>
            <w:t xml:space="preserve">
              <w:r>
                <w:t xml:space="preserve"> From Exod. 20:13</w:t>
              </w:r>
            </w:t>
          </w:r>
        </w:t>
      </w:r>
    </w:p>
  </w:footnote>
  <w:footnote w:id="16311">
    <w:p>
      <w:pPr>
        <w:pStyle w:val="FootnoteText"/>
      </w:pPr>
      <w:r>
        <w:rPr>
          <w:rStyle w:val="FootnoteReference"/>
        </w:rPr>
        <w:footnoteRef/>
      </w:r>
      <w:r>
        <w:t xml:space="preserve">
          <w:r>
            <w:t xml:space="preserve">
              <w:r>
                <w:t xml:space="preserve"> Not a direct quote, but summarizes the thought from Exod. 21:12; Num. 35:12-19; Lev. 24:17; Deut. 17:8-13</w:t>
              </w:r>
            </w:t>
          </w:r>
        </w:t>
      </w:r>
    </w:p>
  </w:footnote>
  <w:footnote w:id="10481">
    <w:p>
      <w:pPr>
        <w:pStyle w:val="FootnoteText"/>
      </w:pPr>
      <w:r>
        <w:rPr>
          <w:rStyle w:val="FootnoteReference"/>
        </w:rPr>
        <w:footnoteRef/>
      </w:r>
      <w:r>
        <w:t xml:space="preserve">
          <w:r>
            <w:t xml:space="preserve">
              <w:r>
                <w:t xml:space="preserve"> Lit. “raca,” an Aramaic insult conveying contempt and a demeaning attitude toward others.</w:t>
              </w:r>
            </w:t>
          </w:r>
        </w:t>
      </w:r>
    </w:p>
  </w:footnote>
  <w:footnote w:id="25072">
    <w:p>
      <w:pPr>
        <w:pStyle w:val="FootnoteText"/>
      </w:pPr>
      <w:r>
        <w:rPr>
          <w:rStyle w:val="FootnoteReference"/>
        </w:rPr>
        <w:footnoteRef/>
      </w:r>
      <w:r>
        <w:t xml:space="preserve">
          <w:r>
            <w:t xml:space="preserve">
              <w:r>
                <w:t xml:space="preserve"> A Roman coin worth 1/64 of a denarius, and thus 1/64 of a day’s wage for a laborer.</w:t>
              </w:r>
            </w:t>
          </w:r>
        </w:t>
      </w:r>
    </w:p>
  </w:footnote>
  <w:footnote w:id="13425">
    <w:p>
      <w:pPr>
        <w:pStyle w:val="FootnoteText"/>
      </w:pPr>
      <w:r>
        <w:rPr>
          <w:rStyle w:val="FootnoteReference"/>
        </w:rPr>
        <w:footnoteRef/>
      </w:r>
      <w:r>
        <w:t xml:space="preserve">
          <w:r>
            <w:t xml:space="preserve">
              <w:r>
                <w:t xml:space="preserve"> From Exod. 20:14</w:t>
              </w:r>
            </w:t>
          </w:r>
        </w:t>
      </w:r>
    </w:p>
  </w:footnote>
  <w:footnote w:id="30377">
    <w:p>
      <w:pPr>
        <w:pStyle w:val="FootnoteText"/>
      </w:pPr>
      <w:r>
        <w:rPr>
          <w:rStyle w:val="FootnoteReference"/>
        </w:rPr>
        <w:footnoteRef/>
      </w:r>
      <w:r>
        <w:t xml:space="preserve">
          <w:r>
            <w:t xml:space="preserve">
              <w:r>
                <w:t xml:space="preserve"> Or “to fall </w:t>
              </w:r>
              <w:r>
                <w:rPr>
                  <w:i/>
                </w:rPr>
                <w:t xml:space="preserve">into sin</w:t>
              </w:r>
              <w:r>
                <w:t xml:space="preserve">”</w:t>
              </w:r>
            </w:t>
          </w:r>
        </w:t>
      </w:r>
    </w:p>
  </w:footnote>
  <w:footnote w:id="21349">
    <w:p>
      <w:pPr>
        <w:pStyle w:val="FootnoteText"/>
      </w:pPr>
      <w:r>
        <w:rPr>
          <w:rStyle w:val="FootnoteReference"/>
        </w:rPr>
        <w:footnoteRef/>
      </w:r>
      <w:r>
        <w:t xml:space="preserve">
          <w:r>
            <w:t xml:space="preserve">
              <w:r>
                <w:t xml:space="preserve"> From Deut. 24:1</w:t>
              </w:r>
            </w:t>
          </w:r>
        </w:t>
      </w:r>
    </w:p>
  </w:footnote>
  <w:footnote w:id="29688">
    <w:p>
      <w:pPr>
        <w:pStyle w:val="FootnoteText"/>
      </w:pPr>
      <w:r>
        <w:rPr>
          <w:rStyle w:val="FootnoteReference"/>
        </w:rPr>
        <w:footnoteRef/>
      </w:r>
      <w:r>
        <w:t xml:space="preserve">
          <w:r>
            <w:t xml:space="preserve">
              <w:r>
                <w:t xml:space="preserve"> From Lev. 19:12; Num. 30:2</w:t>
              </w:r>
            </w:t>
          </w:r>
        </w:t>
      </w:r>
    </w:p>
  </w:footnote>
  <w:footnote w:id="11971">
    <w:p>
      <w:pPr>
        <w:pStyle w:val="FootnoteText"/>
      </w:pPr>
      <w:r>
        <w:rPr>
          <w:rStyle w:val="FootnoteReference"/>
        </w:rPr>
        <w:footnoteRef/>
      </w:r>
      <w:r>
        <w:t xml:space="preserve">
          <w:r>
            <w:t xml:space="preserve">
              <w:r>
                <w:t xml:space="preserve"> From Exod. 21:24; Lev. 24:20; Deut. 19:21</w:t>
              </w:r>
            </w:t>
          </w:r>
        </w:t>
      </w:r>
    </w:p>
  </w:footnote>
  <w:footnote w:id="32564">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9880">
    <w:p>
      <w:pPr>
        <w:pStyle w:val="FootnoteText"/>
      </w:pPr>
      <w:r>
        <w:rPr>
          <w:rStyle w:val="FootnoteReference"/>
        </w:rPr>
        <w:footnoteRef/>
      </w:r>
      <w:r>
        <w:t xml:space="preserve">
          <w:r>
            <w:t xml:space="preserve">
              <w:r>
                <w:t xml:space="preserve"> From Lev. 19:18</w:t>
              </w:r>
            </w:t>
          </w:r>
        </w:t>
      </w:r>
    </w:p>
  </w:footnote>
  <w:footnote w:id="10790">
    <w:p>
      <w:pPr>
        <w:pStyle w:val="FootnoteText"/>
      </w:pPr>
      <w:r>
        <w:rPr>
          <w:rStyle w:val="FootnoteReference"/>
        </w:rPr>
        <w:footnoteRef/>
      </w:r>
      <w:r>
        <w:t xml:space="preserve">
          <w:r>
            <w:t xml:space="preserve">
              <w:r>
                <w:t xml:space="preserve"> Lit. “sons,” here referring to both sons and daughters</w:t>
              </w:r>
            </w:t>
          </w:r>
        </w:t>
      </w:r>
    </w:p>
  </w:footnote>
  <w:footnote w:id="30452">
    <w:p>
      <w:pPr>
        <w:pStyle w:val="FootnoteText"/>
      </w:pPr>
      <w:r>
        <w:rPr>
          <w:rStyle w:val="FootnoteReference"/>
        </w:rPr>
        <w:footnoteRef/>
      </w:r>
      <w:r>
        <w:t xml:space="preserve">
          <w:r>
            <w:t xml:space="preserve">
              <w:r>
                <w:t xml:space="preserve"> Lit. “they disfigure their faces”</w:t>
              </w:r>
            </w:t>
          </w:r>
        </w:t>
      </w:r>
    </w:p>
  </w:footnote>
  <w:footnote w:id="12394">
    <w:p>
      <w:pPr>
        <w:pStyle w:val="FootnoteText"/>
      </w:pPr>
      <w:r>
        <w:rPr>
          <w:rStyle w:val="FootnoteReference"/>
        </w:rPr>
        <w:footnoteRef/>
      </w:r>
      <w:r>
        <w:t xml:space="preserve">
          <w:r>
            <w:t xml:space="preserve">
              <w:r>
                <w:t xml:space="preserve"> Lit. “single”</w:t>
              </w:r>
            </w:t>
          </w:r>
        </w:t>
      </w:r>
    </w:p>
  </w:footnote>
  <w:footnote w:id="14572">
    <w:p>
      <w:pPr>
        <w:pStyle w:val="FootnoteText"/>
      </w:pPr>
      <w:r>
        <w:rPr>
          <w:rStyle w:val="FootnoteReference"/>
        </w:rPr>
        <w:footnoteRef/>
      </w:r>
      <w:r>
        <w:t xml:space="preserve">
          <w:r>
            <w:t xml:space="preserve">
              <w:r>
                <w:t xml:space="preserve"> Lit. “evil”</w:t>
              </w:r>
            </w:t>
          </w:r>
        </w:t>
      </w:r>
    </w:p>
  </w:footnote>
  <w:footnote w:id="26236">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25938">
    <w:p>
      <w:pPr>
        <w:pStyle w:val="FootnoteText"/>
      </w:pPr>
      <w:r>
        <w:rPr>
          <w:rStyle w:val="FootnoteReference"/>
        </w:rPr>
        <w:footnoteRef/>
      </w:r>
      <w:r>
        <w:t xml:space="preserve">
          <w:r>
            <w:t xml:space="preserve">
              <w:r>
                <w:t xml:space="preserve"> Lit. “heaven”</w:t>
              </w:r>
            </w:t>
          </w:r>
        </w:t>
      </w:r>
    </w:p>
  </w:footnote>
  <w:footnote w:id="16537">
    <w:p>
      <w:pPr>
        <w:pStyle w:val="FootnoteText"/>
      </w:pPr>
      <w:r>
        <w:rPr>
          <w:rStyle w:val="FootnoteReference"/>
        </w:rPr>
        <w:footnoteRef/>
      </w:r>
      <w:r>
        <w:t xml:space="preserve">
          <w:r>
            <w:t xml:space="preserve">
              <w:r>
                <w:t xml:space="preserve"> Lit. “brother’s,” also in vv. 4-5</w:t>
              </w:r>
            </w:t>
          </w:r>
        </w:t>
      </w:r>
    </w:p>
  </w:footnote>
  <w:footnote w:id="12360">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11309">
    <w:p>
      <w:pPr>
        <w:pStyle w:val="FootnoteText"/>
      </w:pPr>
      <w:r>
        <w:rPr>
          <w:rStyle w:val="FootnoteReference"/>
        </w:rPr>
        <w:footnoteRef/>
      </w:r>
      <w:r>
        <w:t xml:space="preserve">
          <w:r>
            <w:t xml:space="preserve">
              <w:r>
                <w:t xml:space="preserve"> From Isa. 53:4</w:t>
              </w:r>
            </w:t>
          </w:r>
        </w:t>
      </w:r>
    </w:p>
  </w:footnote>
  <w:footnote w:id="19893">
    <w:p>
      <w:pPr>
        <w:pStyle w:val="FootnoteText"/>
      </w:pPr>
      <w:r>
        <w:rPr>
          <w:rStyle w:val="FootnoteReference"/>
        </w:rPr>
        <w:footnoteRef/>
      </w:r>
      <w:r>
        <w:t xml:space="preserve">
          <w:r>
            <w:t xml:space="preserve">
              <w:r>
                <w:t xml:space="preserve"> This is referring to the “Sea of Galilee.”</w:t>
              </w:r>
            </w:t>
          </w:r>
        </w:t>
      </w:r>
    </w:p>
  </w:footnote>
  <w:footnote w:id="10533">
    <w:p>
      <w:pPr>
        <w:pStyle w:val="FootnoteText"/>
      </w:pPr>
      <w:r>
        <w:rPr>
          <w:rStyle w:val="FootnoteReference"/>
        </w:rPr>
        <w:footnoteRef/>
      </w:r>
      <w:r>
        <w:t xml:space="preserve">
          <w:r>
            <w:t xml:space="preserve">
              <w:r>
                <w:t xml:space="preserve"> This is referring to the “Sea of Galilee.”</w:t>
              </w:r>
            </w:t>
          </w:r>
        </w:t>
      </w:r>
    </w:p>
  </w:footnote>
  <w:footnote w:id="10833">
    <w:p>
      <w:pPr>
        <w:pStyle w:val="FootnoteText"/>
      </w:pPr>
      <w:r>
        <w:rPr>
          <w:rStyle w:val="FootnoteReference"/>
        </w:rPr>
        <w:footnoteRef/>
      </w:r>
      <w:r>
        <w:t xml:space="preserve">
          <w:r>
            <w:t xml:space="preserve">
              <w:r>
                <w:t xml:space="preserve"> From Hosea 6:6</w:t>
              </w:r>
            </w:t>
          </w:r>
        </w:t>
      </w:r>
    </w:p>
  </w:footnote>
  <w:footnote w:id="25181">
    <w:p>
      <w:pPr>
        <w:pStyle w:val="FootnoteText"/>
      </w:pPr>
      <w:r>
        <w:rPr>
          <w:rStyle w:val="FootnoteReference"/>
        </w:rPr>
        <w:footnoteRef/>
      </w:r>
      <w:r>
        <w:t xml:space="preserve">
          <w:r>
            <w:t xml:space="preserve">
              <w:r>
                <w:t xml:space="preserve"> Lit. “sons of the bridechamber”</w:t>
              </w:r>
            </w:t>
          </w:r>
        </w:t>
      </w:r>
    </w:p>
  </w:footnote>
  <w:footnote w:id="31126">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8693">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4492">
    <w:p>
      <w:pPr>
        <w:pStyle w:val="FootnoteText"/>
      </w:pPr>
      <w:r>
        <w:rPr>
          <w:rStyle w:val="FootnoteReference"/>
        </w:rPr>
        <w:footnoteRef/>
      </w:r>
      <w:r>
        <w:t xml:space="preserve">
          <w:r>
            <w:t xml:space="preserve">
              <w:r>
                <w:t xml:space="preserve"> Lit. “lord”</w:t>
              </w:r>
            </w:t>
          </w:r>
        </w:t>
      </w:r>
    </w:p>
  </w:footnote>
  <w:footnote w:id="20776">
    <w:p>
      <w:pPr>
        <w:pStyle w:val="FootnoteText"/>
      </w:pPr>
      <w:r>
        <w:rPr>
          <w:rStyle w:val="FootnoteReference"/>
        </w:rPr>
        <w:footnoteRef/>
      </w:r>
      <w:r>
        <w:t xml:space="preserve">
          <w:r>
            <w:t xml:space="preserve">
              <w:r>
                <w:t xml:space="preserve"> The assarion was worth 1/16 of a drachma (or denarius), which was a day’s wage for a laborer.</w:t>
              </w:r>
            </w:t>
          </w:r>
        </w:t>
      </w:r>
    </w:p>
  </w:footnote>
  <w:footnote w:id="24546">
    <w:p>
      <w:pPr>
        <w:pStyle w:val="FootnoteText"/>
      </w:pPr>
      <w:r>
        <w:rPr>
          <w:rStyle w:val="FootnoteReference"/>
        </w:rPr>
        <w:footnoteRef/>
      </w:r>
      <w:r>
        <w:t xml:space="preserve">
          <w:r>
            <w:t xml:space="preserve">
              <w:r>
                <w:t xml:space="preserve"> From Micah 7:6</w:t>
              </w:r>
            </w:t>
          </w:r>
        </w:t>
      </w:r>
    </w:p>
  </w:footnote>
  <w:footnote w:id="24928">
    <w:p>
      <w:pPr>
        <w:pStyle w:val="FootnoteText"/>
      </w:pPr>
      <w:r>
        <w:rPr>
          <w:rStyle w:val="FootnoteReference"/>
        </w:rPr>
        <w:footnoteRef/>
      </w:r>
      <w:r>
        <w:t xml:space="preserve">
          <w:r>
            <w:t xml:space="preserve">
              <w:r>
                <w:t xml:space="preserve"> Lit. “the Anointed One”</w:t>
              </w:r>
            </w:t>
          </w:r>
        </w:t>
      </w:r>
    </w:p>
  </w:footnote>
  <w:footnote w:id="16343">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7205">
    <w:p>
      <w:pPr>
        <w:pStyle w:val="FootnoteText"/>
      </w:pPr>
      <w:r>
        <w:rPr>
          <w:rStyle w:val="FootnoteReference"/>
        </w:rPr>
        <w:footnoteRef/>
      </w:r>
      <w:r>
        <w:t xml:space="preserve">
          <w:r>
            <w:t xml:space="preserve">
              <w:r>
                <w:t xml:space="preserve"> Lit. “before your face”</w:t>
              </w:r>
            </w:t>
          </w:r>
        </w:t>
      </w:r>
    </w:p>
  </w:footnote>
  <w:footnote w:id="26845">
    <w:p>
      <w:pPr>
        <w:pStyle w:val="FootnoteText"/>
      </w:pPr>
      <w:r>
        <w:rPr>
          <w:rStyle w:val="FootnoteReference"/>
        </w:rPr>
        <w:footnoteRef/>
      </w:r>
      <w:r>
        <w:t xml:space="preserve">
          <w:r>
            <w:t xml:space="preserve">
              <w:r>
                <w:t xml:space="preserve"> From Mal. 3:1</w:t>
              </w:r>
            </w:t>
          </w:r>
        </w:t>
      </w:r>
    </w:p>
  </w:footnote>
  <w:footnote w:id="31618">
    <w:p>
      <w:pPr>
        <w:pStyle w:val="FootnoteText"/>
      </w:pPr>
      <w:r>
        <w:rPr>
          <w:rStyle w:val="FootnoteReference"/>
        </w:rPr>
        <w:footnoteRef/>
      </w:r>
      <w:r>
        <w:t xml:space="preserve">
          <w:r>
            <w:t xml:space="preserve">
              <w:r>
                <w:t xml:space="preserve"> Or “easy to bear”</w:t>
              </w:r>
            </w:t>
          </w:r>
        </w:t>
      </w:r>
    </w:p>
  </w:footnote>
  <w:footnote w:id="19437">
    <w:p>
      <w:pPr>
        <w:pStyle w:val="FootnoteText"/>
      </w:pPr>
      <w:r>
        <w:rPr>
          <w:rStyle w:val="FootnoteReference"/>
        </w:rPr>
        <w:footnoteRef/>
      </w:r>
      <w:r>
        <w:t xml:space="preserve">
          <w:r>
            <w:t xml:space="preserve">
              <w:r>
                <w:t xml:space="preserve"> From Hosea 6:6</w:t>
              </w:r>
            </w:t>
          </w:r>
        </w:t>
      </w:r>
    </w:p>
  </w:footnote>
  <w:footnote w:id="20451">
    <w:p>
      <w:pPr>
        <w:pStyle w:val="FootnoteText"/>
      </w:pPr>
      <w:r>
        <w:rPr>
          <w:rStyle w:val="FootnoteReference"/>
        </w:rPr>
        <w:footnoteRef/>
      </w:r>
      <w:r>
        <w:t xml:space="preserve">
          <w:r>
            <w:t xml:space="preserve">
              <w:r>
                <w:t xml:space="preserve"> Lit. “him,” here referring to Jesus.</w:t>
              </w:r>
            </w:t>
          </w:r>
        </w:t>
      </w:r>
    </w:p>
  </w:footnote>
  <w:footnote w:id="13558">
    <w:p>
      <w:pPr>
        <w:pStyle w:val="FootnoteText"/>
      </w:pPr>
      <w:r>
        <w:rPr>
          <w:rStyle w:val="FootnoteReference"/>
        </w:rPr>
        <w:footnoteRef/>
      </w:r>
      <w:r>
        <w:t xml:space="preserve">
          <w:r>
            <w:t xml:space="preserve">
              <w:r>
                <w:t xml:space="preserve"> From Isa. 42:1-4</w:t>
              </w:r>
            </w:t>
          </w:r>
        </w:t>
      </w:r>
    </w:p>
  </w:footnote>
  <w:footnote w:id="2445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7707">
    <w:p>
      <w:pPr>
        <w:pStyle w:val="FootnoteText"/>
      </w:pPr>
      <w:r>
        <w:rPr>
          <w:rStyle w:val="FootnoteReference"/>
        </w:rPr>
        <w:footnoteRef/>
      </w:r>
      <w:r>
        <w:t xml:space="preserve">
          <w:r>
            <w:t xml:space="preserve">
              <w:r>
                <w:t xml:space="preserve"> From Jonah 1:17</w:t>
              </w:r>
            </w:t>
          </w:r>
        </w:t>
      </w:r>
    </w:p>
  </w:footnote>
  <w:footnote w:id="18597">
    <w:p>
      <w:pPr>
        <w:pStyle w:val="FootnoteText"/>
      </w:pPr>
      <w:r>
        <w:rPr>
          <w:rStyle w:val="FootnoteReference"/>
        </w:rPr>
        <w:footnoteRef/>
      </w:r>
      <w:r>
        <w:t xml:space="preserve">
          <w:r>
            <w:t xml:space="preserve">
              <w:r>
                <w:t xml:space="preserve"> This is referring to the “Sea of Galilee.”</w:t>
              </w:r>
            </w:t>
          </w:r>
        </w:t>
      </w:r>
    </w:p>
  </w:footnote>
  <w:footnote w:id="13143">
    <w:p>
      <w:pPr>
        <w:pStyle w:val="FootnoteText"/>
      </w:pPr>
      <w:r>
        <w:rPr>
          <w:rStyle w:val="FootnoteReference"/>
        </w:rPr>
        <w:footnoteRef/>
      </w:r>
      <w:r>
        <w:t xml:space="preserve">
          <w:r>
            <w:t xml:space="preserve">
              <w:r>
                <w:t xml:space="preserve"> Lit. “grown fat”</w:t>
              </w:r>
            </w:t>
          </w:r>
        </w:t>
      </w:r>
    </w:p>
  </w:footnote>
  <w:footnote w:id="10806">
    <w:p>
      <w:pPr>
        <w:pStyle w:val="FootnoteText"/>
      </w:pPr>
      <w:r>
        <w:rPr>
          <w:rStyle w:val="FootnoteReference"/>
        </w:rPr>
        <w:footnoteRef/>
      </w:r>
      <w:r>
        <w:t xml:space="preserve">
          <w:r>
            <w:t xml:space="preserve">
              <w:r>
                <w:t xml:space="preserve"> From Isa. 6:9-10</w:t>
              </w:r>
            </w:t>
          </w:r>
        </w:t>
      </w:r>
    </w:p>
  </w:footnote>
  <w:footnote w:id="24716">
    <w:p>
      <w:pPr>
        <w:pStyle w:val="FootnoteText"/>
      </w:pPr>
      <w:r>
        <w:rPr>
          <w:rStyle w:val="FootnoteReference"/>
        </w:rPr>
        <w:footnoteRef/>
      </w:r>
      <w:r>
        <w:t xml:space="preserve">
          <w:r>
            <w:t xml:space="preserve">
              <w:r>
                <w:t xml:space="preserve"> Lit. “darnel.” Darnel is a plant that looks similar to wheat until mature, and can be poisonous.</w:t>
              </w:r>
            </w:t>
          </w:r>
        </w:t>
      </w:r>
    </w:p>
  </w:footnote>
  <w:footnote w:id="30292">
    <w:p>
      <w:pPr>
        <w:pStyle w:val="FootnoteText"/>
      </w:pPr>
      <w:r>
        <w:rPr>
          <w:rStyle w:val="FootnoteReference"/>
        </w:rPr>
        <w:footnoteRef/>
      </w:r>
      <w:r>
        <w:t xml:space="preserve">
          <w:r>
            <w:t xml:space="preserve">
              <w:r>
                <w:t xml:space="preserve"> Or. “birds of heaven”</w:t>
              </w:r>
            </w:t>
          </w:r>
        </w:t>
      </w:r>
    </w:p>
  </w:footnote>
  <w:footnote w:id="14758">
    <w:p>
      <w:pPr>
        <w:pStyle w:val="FootnoteText"/>
      </w:pPr>
      <w:r>
        <w:rPr>
          <w:rStyle w:val="FootnoteReference"/>
        </w:rPr>
        <w:footnoteRef/>
      </w:r>
      <w:r>
        <w:t xml:space="preserve">
          <w:r>
            <w:t xml:space="preserve">
              <w:r>
                <w:t xml:space="preserve"> The Greek reads three satons, and one saton was about 3 gallons (11.4 liters).</w:t>
              </w:r>
            </w:t>
          </w:r>
        </w:t>
      </w:r>
    </w:p>
  </w:footnote>
  <w:footnote w:id="14836">
    <w:p>
      <w:pPr>
        <w:pStyle w:val="FootnoteText"/>
      </w:pPr>
      <w:r>
        <w:rPr>
          <w:rStyle w:val="FootnoteReference"/>
        </w:rPr>
        <w:footnoteRef/>
      </w:r>
      <w:r>
        <w:t xml:space="preserve">
          <w:r>
            <w:t xml:space="preserve">
              <w:r>
                <w:t xml:space="preserve"> From Ps. 78:2</w:t>
              </w:r>
            </w:t>
          </w:r>
        </w:t>
      </w:r>
    </w:p>
  </w:footnote>
  <w:footnote w:id="2510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6864">
    <w:p>
      <w:pPr>
        <w:pStyle w:val="FootnoteText"/>
      </w:pPr>
      <w:r>
        <w:rPr>
          <w:rStyle w:val="FootnoteReference"/>
        </w:rPr>
        <w:footnoteRef/>
      </w:r>
      <w:r>
        <w:t xml:space="preserve">
          <w:r>
            <w:t xml:space="preserve">
              <w:r>
                <w:t xml:space="preserve"> Lit. “committing lawlessness”</w:t>
              </w:r>
            </w:t>
          </w:r>
        </w:t>
      </w:r>
    </w:p>
  </w:footnote>
  <w:footnote w:id="16679">
    <w:p>
      <w:pPr>
        <w:pStyle w:val="FootnoteText"/>
      </w:pPr>
      <w:r>
        <w:rPr>
          <w:rStyle w:val="FootnoteReference"/>
        </w:rPr>
        <w:footnoteRef/>
      </w:r>
      <w:r>
        <w:t xml:space="preserve">
          <w:r>
            <w:t xml:space="preserve">
              <w:r>
                <w:t xml:space="preserve"> Between 3 and 6 a.m. In NT times, the day was divided into 12 hours (John 11:9) and the night into 4 watches: 1st: 6-9 p.m.; 2nd: 9 p.m.-midnight; 3rd: midnight-3 a.m.; 4th: 3-6 a.m. (Mark 13:35).</w:t>
              </w:r>
            </w:t>
          </w:r>
        </w:t>
      </w:r>
    </w:p>
  </w:footnote>
  <w:footnote w:id="24887">
    <w:p>
      <w:pPr>
        <w:pStyle w:val="FootnoteText"/>
      </w:pPr>
      <w:r>
        <w:rPr>
          <w:rStyle w:val="FootnoteReference"/>
        </w:rPr>
        <w:footnoteRef/>
      </w:r>
      <w:r>
        <w:t xml:space="preserve">
          <w:r>
            <w:t xml:space="preserve">
              <w:r>
                <w:t xml:space="preserve"> This is referring to the “Sea of Galilee.”</w:t>
              </w:r>
            </w:t>
          </w:r>
        </w:t>
      </w:r>
    </w:p>
  </w:footnote>
  <w:footnote w:id="21329">
    <w:p>
      <w:pPr>
        <w:pStyle w:val="FootnoteText"/>
      </w:pPr>
      <w:r>
        <w:rPr>
          <w:rStyle w:val="FootnoteReference"/>
        </w:rPr>
        <w:footnoteRef/>
      </w:r>
      <w:r>
        <w:t xml:space="preserve">
          <w:r>
            <w:t xml:space="preserve">
              <w:r>
                <w:t xml:space="preserve"> From Exod. 20:12; Deut. 5:16</w:t>
              </w:r>
            </w:t>
          </w:r>
        </w:t>
      </w:r>
    </w:p>
  </w:footnote>
  <w:footnote w:id="24008">
    <w:p>
      <w:pPr>
        <w:pStyle w:val="FootnoteText"/>
      </w:pPr>
      <w:r>
        <w:rPr>
          <w:rStyle w:val="FootnoteReference"/>
        </w:rPr>
        <w:footnoteRef/>
      </w:r>
      <w:r>
        <w:t xml:space="preserve">
          <w:r>
            <w:t xml:space="preserve">
              <w:r>
                <w:t xml:space="preserve"> From Exod. 21:17</w:t>
              </w:r>
            </w:t>
          </w:r>
        </w:t>
      </w:r>
    </w:p>
  </w:footnote>
  <w:footnote w:id="10379">
    <w:p>
      <w:pPr>
        <w:pStyle w:val="FootnoteText"/>
      </w:pPr>
      <w:r>
        <w:rPr>
          <w:rStyle w:val="FootnoteReference"/>
        </w:rPr>
        <w:footnoteRef/>
      </w:r>
      <w:r>
        <w:t xml:space="preserve">
          <w:r>
            <w:t xml:space="preserve">
              <w:r>
                <w:t xml:space="preserve"> From Isa. 29:13</w:t>
              </w:r>
            </w:t>
          </w:r>
        </w:t>
      </w:r>
    </w:p>
  </w:footnote>
  <w:footnote w:id="18573">
    <w:p>
      <w:pPr>
        <w:pStyle w:val="FootnoteText"/>
      </w:pPr>
      <w:r>
        <w:rPr>
          <w:rStyle w:val="FootnoteReference"/>
        </w:rPr>
        <w:footnoteRef/>
      </w:r>
      <w:r>
        <w:t xml:space="preserve">
          <w:r>
            <w:t xml:space="preserve">
              <w:r>
                <w:t xml:space="preserve"> This is referring to the “Sea of Galilee.”</w:t>
              </w:r>
            </w:t>
          </w:r>
        </w:t>
      </w:r>
    </w:p>
  </w:footnote>
  <w:footnote w:id="15746">
    <w:p>
      <w:pPr>
        <w:pStyle w:val="FootnoteText"/>
      </w:pPr>
      <w:r>
        <w:rPr>
          <w:rStyle w:val="FootnoteReference"/>
        </w:rPr>
        <w:footnoteRef/>
      </w:r>
      <w:r>
        <w:t xml:space="preserve">
          <w:r>
            <w:t xml:space="preserve">
              <w:r>
                <w:t xml:space="preserve"> Lit. “the Anointed One”</w:t>
              </w:r>
            </w:t>
          </w:r>
        </w:t>
      </w:r>
    </w:p>
  </w:footnote>
  <w:footnote w:id="29912">
    <w:p>
      <w:pPr>
        <w:pStyle w:val="FootnoteText"/>
      </w:pPr>
      <w:r>
        <w:rPr>
          <w:rStyle w:val="FootnoteReference"/>
        </w:rPr>
        <w:footnoteRef/>
      </w:r>
      <w:r>
        <w:t xml:space="preserve">
          <w:r>
            <w:t xml:space="preserve">
              <w:r>
                <w:t xml:space="preserve"> “it” refers to the “church”</w:t>
              </w:r>
            </w:t>
          </w:r>
        </w:t>
      </w:r>
    </w:p>
  </w:footnote>
  <w:footnote w:id="21163">
    <w:p>
      <w:pPr>
        <w:pStyle w:val="FootnoteText"/>
      </w:pPr>
      <w:r>
        <w:rPr>
          <w:rStyle w:val="FootnoteReference"/>
        </w:rPr>
        <w:footnoteRef/>
      </w:r>
      <w:r>
        <w:t xml:space="preserve">
          <w:r>
            <w:t xml:space="preserve">
              <w:r>
                <w:t xml:space="preserve"> Lit. “[God be] merciful to you”</w:t>
              </w:r>
            </w:t>
          </w:r>
        </w:t>
      </w:r>
    </w:p>
  </w:footnote>
  <w:footnote w:id="11876">
    <w:p>
      <w:pPr>
        <w:pStyle w:val="FootnoteText"/>
      </w:pPr>
      <w:r>
        <w:rPr>
          <w:rStyle w:val="FootnoteReference"/>
        </w:rPr>
        <w:footnoteRef/>
      </w:r>
      <w:r>
        <w:t xml:space="preserve">
          <w:r>
            <w:t xml:space="preserve">
              <w:r>
                <w:t xml:space="preserve"> Lit. “Get behind me”</w:t>
              </w:r>
            </w:t>
          </w:r>
        </w:t>
      </w:r>
    </w:p>
  </w:footnote>
  <w:footnote w:id="29796">
    <w:p>
      <w:pPr>
        <w:pStyle w:val="FootnoteText"/>
      </w:pPr>
      <w:r>
        <w:rPr>
          <w:rStyle w:val="FootnoteReference"/>
        </w:rPr>
        <w:footnoteRef/>
      </w:r>
      <w:r>
        <w:t xml:space="preserve">
          <w:r>
            <w:t xml:space="preserve">
              <w:r>
                <w:t xml:space="preserve"> Lit. “the things of God, but the things of humans”</w:t>
              </w:r>
            </w:t>
          </w:r>
        </w:t>
      </w:r>
    </w:p>
  </w:footnote>
  <w:footnote w:id="22450">
    <w:p>
      <w:pPr>
        <w:pStyle w:val="FootnoteText"/>
      </w:pPr>
      <w:r>
        <w:rPr>
          <w:rStyle w:val="FootnoteReference"/>
        </w:rPr>
        <w:footnoteRef/>
      </w:r>
      <w:r>
        <w:t xml:space="preserve">
          <w:r>
            <w:t xml:space="preserve">
              <w:r>
                <w:t xml:space="preserve"> Lit. “come after me”</w:t>
              </w:r>
            </w:t>
          </w:r>
        </w:t>
      </w:r>
    </w:p>
  </w:footnote>
  <w:footnote w:id="13436">
    <w:p>
      <w:pPr>
        <w:pStyle w:val="FootnoteText"/>
      </w:pPr>
      <w:r>
        <w:rPr>
          <w:rStyle w:val="FootnoteReference"/>
        </w:rPr>
        <w:footnoteRef/>
      </w:r>
      <w:r>
        <w:t xml:space="preserve">
          <w:r>
            <w:t xml:space="preserve">
              <w:r>
                <w:t xml:space="preserve"> In Matt. 16:25-28, “life” is the Greek word </w:t>
              </w:r>
              <w:r>
                <w:rPr>
                  <w:i/>
                </w:rPr>
                <w:t xml:space="preserve">psuchē</w:t>
              </w:r>
              <w:r>
                <w:t xml:space="preserve">, “soul,” but in this context it means “life.”</w:t>
              </w:r>
            </w:t>
          </w:r>
        </w:t>
      </w:r>
    </w:p>
  </w:footnote>
  <w:footnote w:id="17752">
    <w:p>
      <w:pPr>
        <w:pStyle w:val="FootnoteText"/>
      </w:pPr>
      <w:r>
        <w:rPr>
          <w:rStyle w:val="FootnoteReference"/>
        </w:rPr>
        <w:footnoteRef/>
      </w:r>
      <w:r>
        <w:t xml:space="preserve">
          <w:r>
            <w:t xml:space="preserve">
              <w:r>
                <w:t xml:space="preserve"> Lit. “taste death,” i.e. die.</w:t>
              </w:r>
            </w:t>
          </w:r>
        </w:t>
      </w:r>
    </w:p>
  </w:footnote>
  <w:footnote w:id="26477">
    <w:p>
      <w:pPr>
        <w:pStyle w:val="FootnoteText"/>
      </w:pPr>
      <w:r>
        <w:rPr>
          <w:rStyle w:val="FootnoteReference"/>
        </w:rPr>
        <w:footnoteRef/>
      </w:r>
      <w:r>
        <w:t xml:space="preserve">
          <w:r>
            <w:t xml:space="preserve">
              <w:r>
                <w:t xml:space="preserve"> This is referring to the “Sea of Galilee.”</w:t>
              </w:r>
            </w:t>
          </w:r>
        </w:t>
      </w:r>
    </w:p>
  </w:footnote>
  <w:footnote w:id="26979">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24690">
    <w:p>
      <w:pPr>
        <w:pStyle w:val="FootnoteText"/>
      </w:pPr>
      <w:r>
        <w:rPr>
          <w:rStyle w:val="FootnoteReference"/>
        </w:rPr>
        <w:footnoteRef/>
      </w:r>
      <w:r>
        <w:t xml:space="preserve">
          <w:r>
            <w:t xml:space="preserve">
              <w:r>
                <w:t xml:space="preserve"> This is referring to the “Sea of Galilee.”</w:t>
              </w:r>
            </w:t>
          </w:r>
        </w:t>
      </w:r>
    </w:p>
  </w:footnote>
  <w:footnote w:id="26468">
    <w:p>
      <w:pPr>
        <w:pStyle w:val="FootnoteText"/>
      </w:pPr>
      <w:r>
        <w:rPr>
          <w:rStyle w:val="FootnoteReference"/>
        </w:rPr>
        <w:footnoteRef/>
      </w:r>
      <w:r>
        <w:t xml:space="preserve">
          <w:r>
            <w:t xml:space="preserve">
              <w:r>
                <w:t xml:space="preserve"> From Deut. 19:15</w:t>
              </w:r>
            </w:t>
          </w:r>
        </w:t>
      </w:r>
    </w:p>
  </w:footnote>
  <w:footnote w:id="28746">
    <w:p>
      <w:pPr>
        <w:pStyle w:val="FootnoteText"/>
      </w:pPr>
      <w:r>
        <w:rPr>
          <w:rStyle w:val="FootnoteReference"/>
        </w:rPr>
        <w:footnoteRef/>
      </w:r>
      <w:r>
        <w:t xml:space="preserve">
          <w:r>
            <w:t xml:space="preserve">
              <w:r>
                <w:t xml:space="preserve"> A talent was worth 6,000 denarii (a denarius was worth a day’s wage).</w:t>
              </w:r>
            </w:t>
          </w:r>
        </w:t>
      </w:r>
    </w:p>
  </w:footnote>
  <w:footnote w:id="26776">
    <w:p>
      <w:pPr>
        <w:pStyle w:val="FootnoteText"/>
      </w:pPr>
      <w:r>
        <w:rPr>
          <w:rStyle w:val="FootnoteReference"/>
        </w:rPr>
        <w:footnoteRef/>
      </w:r>
      <w:r>
        <w:t xml:space="preserve">
          <w:r>
            <w:t xml:space="preserve">
              <w:r>
                <w:t xml:space="preserve"> A denarius was a coin that was one day’s wage for a laborer.</w:t>
              </w:r>
            </w:t>
          </w:r>
        </w:t>
      </w:r>
    </w:p>
  </w:footnote>
  <w:footnote w:id="31649">
    <w:p>
      <w:pPr>
        <w:pStyle w:val="FootnoteText"/>
      </w:pPr>
      <w:r>
        <w:rPr>
          <w:rStyle w:val="FootnoteReference"/>
        </w:rPr>
        <w:footnoteRef/>
      </w:r>
      <w:r>
        <w:t xml:space="preserve">
          <w:r>
            <w:t xml:space="preserve">
              <w:r>
                <w:t xml:space="preserve"> From Gen. 2:24</w:t>
              </w:r>
            </w:t>
          </w:r>
        </w:t>
      </w:r>
    </w:p>
  </w:footnote>
  <w:footnote w:id="32178">
    <w:p>
      <w:pPr>
        <w:pStyle w:val="FootnoteText"/>
      </w:pPr>
      <w:r>
        <w:rPr>
          <w:rStyle w:val="FootnoteReference"/>
        </w:rPr>
        <w:footnoteRef/>
      </w:r>
      <w:r>
        <w:t xml:space="preserve">
          <w:r>
            <w:t xml:space="preserve">
              <w:r>
                <w:t xml:space="preserve"> Alluding to Deut. 24:1-4</w:t>
              </w:r>
            </w:t>
          </w:r>
        </w:t>
      </w:r>
    </w:p>
  </w:footnote>
  <w:footnote w:id="17132">
    <w:p>
      <w:pPr>
        <w:pStyle w:val="FootnoteText"/>
      </w:pPr>
      <w:r>
        <w:rPr>
          <w:rStyle w:val="FootnoteReference"/>
        </w:rPr>
        <w:footnoteRef/>
      </w:r>
      <w:r>
        <w:t xml:space="preserve">
          <w:r>
            <w:t xml:space="preserve">
              <w:r>
                <w:t xml:space="preserve"> From Exod. 20:12-16; Lev. 19:18</w:t>
              </w:r>
            </w:t>
          </w:r>
        </w:t>
      </w:r>
    </w:p>
  </w:footnote>
  <w:footnote w:id="10731">
    <w:p>
      <w:pPr>
        <w:pStyle w:val="FootnoteText"/>
      </w:pPr>
      <w:r>
        <w:rPr>
          <w:rStyle w:val="FootnoteReference"/>
        </w:rPr>
        <w:footnoteRef/>
      </w:r>
      <w:r>
        <w:t xml:space="preserve">
          <w:r>
            <w:t xml:space="preserve">
              <w:r>
                <w:t xml:space="preserve"> A denarius was a coin that was one day’s wage for a laborer.</w:t>
              </w:r>
            </w:t>
          </w:r>
        </w:t>
      </w:r>
    </w:p>
  </w:footnote>
  <w:footnote w:id="13029">
    <w:p>
      <w:pPr>
        <w:pStyle w:val="FootnoteText"/>
      </w:pPr>
      <w:r>
        <w:rPr>
          <w:rStyle w:val="FootnoteReference"/>
        </w:rPr>
        <w:footnoteRef/>
      </w:r>
      <w:r>
        <w:t xml:space="preserve">
          <w:r>
            <w:t xml:space="preserve">
              <w:r>
                <w:t xml:space="preserve"> At the time of Christ the day was divided into 12 hours starting at roughly 6 a.m. Thus the third hour was about 9 a.m., the sixth hour was noon, the ninth hour was 3 p.m., and the eleventh hour was about 5 p.m.</w:t>
              </w:r>
            </w:t>
          </w:r>
        </w:t>
      </w:r>
    </w:p>
  </w:footnote>
  <w:footnote w:id="18919">
    <w:p>
      <w:pPr>
        <w:pStyle w:val="FootnoteText"/>
      </w:pPr>
      <w:r>
        <w:rPr>
          <w:rStyle w:val="FootnoteReference"/>
        </w:rPr>
        <w:footnoteRef/>
      </w:r>
      <w:r>
        <w:t xml:space="preserve">
          <w:r>
            <w:t xml:space="preserve">
              <w:r>
                <w:t xml:space="preserve"> “Drink the cup” was a common idiom meaning to experience, whether that experience was good or bad.</w:t>
              </w:r>
            </w:t>
          </w:r>
        </w:t>
      </w:r>
    </w:p>
  </w:footnote>
  <w:footnote w:id="24364">
    <w:p>
      <w:pPr>
        <w:pStyle w:val="FootnoteText"/>
      </w:pPr>
      <w:r>
        <w:rPr>
          <w:rStyle w:val="FootnoteReference"/>
        </w:rPr>
        <w:footnoteRef/>
      </w:r>
      <w:r>
        <w:t xml:space="preserve">
          <w:r>
            <w:t xml:space="preserve">
              <w:r>
                <w:t xml:space="preserve"> From Isa. 62:11; Zech. 9:9</w:t>
              </w:r>
            </w:t>
          </w:r>
        </w:t>
      </w:r>
    </w:p>
  </w:footnote>
  <w:footnote w:id="11725">
    <w:p>
      <w:pPr>
        <w:pStyle w:val="FootnoteText"/>
      </w:pPr>
      <w:r>
        <w:rPr>
          <w:rStyle w:val="FootnoteReference"/>
        </w:rPr>
        <w:footnoteRef/>
      </w:r>
      <w:r>
        <w:t xml:space="preserve">
          <w:r>
            <w:t xml:space="preserve">
              <w:r>
                <w:t xml:space="preserve"> “Hosanna” originally meant “Save” or “Save now,” but by NT times it was used liturgically as an expression of praise.</w:t>
              </w:r>
            </w:t>
          </w:r>
        </w:t>
      </w:r>
    </w:p>
  </w:footnote>
  <w:footnote w:id="22651">
    <w:p>
      <w:pPr>
        <w:pStyle w:val="FootnoteText"/>
      </w:pPr>
      <w:r>
        <w:rPr>
          <w:rStyle w:val="FootnoteReference"/>
        </w:rPr>
        <w:footnoteRef/>
      </w:r>
      <w:r>
        <w:t xml:space="preserve">
          <w:r>
            <w:t xml:space="preserve">
              <w:r>
                <w:t xml:space="preserve"> From Ps. 118:26</w:t>
              </w:r>
            </w:t>
          </w:r>
        </w:t>
      </w:r>
    </w:p>
  </w:footnote>
  <w:footnote w:id="10604">
    <w:p>
      <w:pPr>
        <w:pStyle w:val="FootnoteText"/>
      </w:pPr>
      <w:r>
        <w:rPr>
          <w:rStyle w:val="FootnoteReference"/>
        </w:rPr>
        <w:footnoteRef/>
      </w:r>
      <w:r>
        <w:t xml:space="preserve">
          <w:r>
            <w:t xml:space="preserve">
              <w:r>
                <w:t xml:space="preserve"> From Isa. 56:7</w:t>
              </w:r>
            </w:t>
          </w:r>
        </w:t>
      </w:r>
    </w:p>
  </w:footnote>
  <w:footnote w:id="24043">
    <w:p>
      <w:pPr>
        <w:pStyle w:val="FootnoteText"/>
      </w:pPr>
      <w:r>
        <w:rPr>
          <w:rStyle w:val="FootnoteReference"/>
        </w:rPr>
        <w:footnoteRef/>
      </w:r>
      <w:r>
        <w:t xml:space="preserve">
          <w:r>
            <w:t xml:space="preserve">
              <w:r>
                <w:t xml:space="preserve"> From Jer. 7:11</w:t>
              </w:r>
            </w:t>
          </w:r>
        </w:t>
      </w:r>
    </w:p>
  </w:footnote>
  <w:footnote w:id="19049">
    <w:p>
      <w:pPr>
        <w:pStyle w:val="FootnoteText"/>
      </w:pPr>
      <w:r>
        <w:rPr>
          <w:rStyle w:val="FootnoteReference"/>
        </w:rPr>
        <w:footnoteRef/>
      </w:r>
      <w:r>
        <w:t xml:space="preserve">
          <w:r>
            <w:t xml:space="preserve">
              <w:r>
                <w:t xml:space="preserve"> From Ps. 8:2</w:t>
              </w:r>
            </w:t>
          </w:r>
        </w:t>
      </w:r>
    </w:p>
  </w:footnote>
  <w:footnote w:id="32457">
    <w:p>
      <w:pPr>
        <w:pStyle w:val="FootnoteText"/>
      </w:pPr>
      <w:r>
        <w:rPr>
          <w:rStyle w:val="FootnoteReference"/>
        </w:rPr>
        <w:footnoteRef/>
      </w:r>
      <w:r>
        <w:t xml:space="preserve">
          <w:r>
            <w:t xml:space="preserve">
              <w:r>
                <w:t xml:space="preserve"> The nation of Israel was called “the People,” so it is appropriate to capitalize it when it refers just to Israel.</w:t>
              </w:r>
            </w:t>
          </w:r>
        </w:t>
      </w:r>
    </w:p>
  </w:footnote>
  <w:footnote w:id="13029">
    <w:p>
      <w:pPr>
        <w:pStyle w:val="FootnoteText"/>
      </w:pPr>
      <w:r>
        <w:rPr>
          <w:rStyle w:val="FootnoteReference"/>
        </w:rPr>
        <w:footnoteRef/>
      </w:r>
      <w:r>
        <w:t xml:space="preserve">
          <w:r>
            <w:t xml:space="preserve">
              <w:r>
                <w:t xml:space="preserve"> Lit. “lord”</w:t>
              </w:r>
            </w:t>
          </w:r>
        </w:t>
      </w:r>
    </w:p>
  </w:footnote>
  <w:footnote w:id="32226">
    <w:p>
      <w:pPr>
        <w:pStyle w:val="FootnoteText"/>
      </w:pPr>
      <w:r>
        <w:rPr>
          <w:rStyle w:val="FootnoteReference"/>
        </w:rPr>
        <w:footnoteRef/>
      </w:r>
      <w:r>
        <w:t xml:space="preserve">
          <w:r>
            <w:t xml:space="preserve">
              <w:r>
                <w:t xml:space="preserve"> From Ps. 118:22-23</w:t>
              </w:r>
            </w:t>
          </w:r>
        </w:t>
      </w:r>
    </w:p>
  </w:footnote>
  <w:footnote w:id="18427">
    <w:p>
      <w:pPr>
        <w:pStyle w:val="FootnoteText"/>
      </w:pPr>
      <w:r>
        <w:rPr>
          <w:rStyle w:val="FootnoteReference"/>
        </w:rPr>
        <w:footnoteRef/>
      </w:r>
      <w:r>
        <w:t xml:space="preserve">
          <w:r>
            <w:t xml:space="preserve">
              <w:r>
                <w:t xml:space="preserve"> Lit. “look at the face of people”</w:t>
              </w:r>
            </w:t>
          </w:r>
        </w:t>
      </w:r>
    </w:p>
  </w:footnote>
  <w:footnote w:id="28395">
    <w:p>
      <w:pPr>
        <w:pStyle w:val="FootnoteText"/>
      </w:pPr>
      <w:r>
        <w:rPr>
          <w:rStyle w:val="FootnoteReference"/>
        </w:rPr>
        <w:footnoteRef/>
      </w:r>
      <w:r>
        <w:t xml:space="preserve">
          <w:r>
            <w:t xml:space="preserve">
              <w:r>
                <w:t xml:space="preserve"> A denarius was a coin that was one day’s wage for a laborer.</w:t>
              </w:r>
            </w:t>
          </w:r>
        </w:t>
      </w:r>
    </w:p>
  </w:footnote>
  <w:footnote w:id="18819">
    <w:p>
      <w:pPr>
        <w:pStyle w:val="FootnoteText"/>
      </w:pPr>
      <w:r>
        <w:rPr>
          <w:rStyle w:val="FootnoteReference"/>
        </w:rPr>
        <w:footnoteRef/>
      </w:r>
      <w:r>
        <w:t xml:space="preserve">
          <w:r>
            <w:t xml:space="preserve">
              <w:r>
                <w:t xml:space="preserve"> From Deut. 25:5</w:t>
              </w:r>
            </w:t>
          </w:r>
        </w:t>
      </w:r>
    </w:p>
  </w:footnote>
  <w:footnote w:id="30411">
    <w:p>
      <w:pPr>
        <w:pStyle w:val="FootnoteText"/>
      </w:pPr>
      <w:r>
        <w:rPr>
          <w:rStyle w:val="FootnoteReference"/>
        </w:rPr>
        <w:footnoteRef/>
      </w:r>
      <w:r>
        <w:t xml:space="preserve">
          <w:r>
            <w:t xml:space="preserve">
              <w:r>
                <w:t xml:space="preserve"> From Exod. 3:6</w:t>
              </w:r>
            </w:t>
          </w:r>
        </w:t>
      </w:r>
    </w:p>
  </w:footnote>
  <w:footnote w:id="19088">
    <w:p>
      <w:pPr>
        <w:pStyle w:val="FootnoteText"/>
      </w:pPr>
      <w:r>
        <w:rPr>
          <w:rStyle w:val="FootnoteReference"/>
        </w:rPr>
        <w:footnoteRef/>
      </w:r>
      <w:r>
        <w:t xml:space="preserve">
          <w:r>
            <w:t xml:space="preserve">
              <w:r>
                <w:t xml:space="preserve"> From Deut. 6:5</w:t>
              </w:r>
            </w:t>
          </w:r>
        </w:t>
      </w:r>
    </w:p>
  </w:footnote>
  <w:footnote w:id="12914">
    <w:p>
      <w:pPr>
        <w:pStyle w:val="FootnoteText"/>
      </w:pPr>
      <w:r>
        <w:rPr>
          <w:rStyle w:val="FootnoteReference"/>
        </w:rPr>
        <w:footnoteRef/>
      </w:r>
      <w:r>
        <w:t xml:space="preserve">
          <w:r>
            <w:t xml:space="preserve">
              <w:r>
                <w:t xml:space="preserve"> From Lev. 19:18</w:t>
              </w:r>
            </w:t>
          </w:r>
        </w:t>
      </w:r>
    </w:p>
  </w:footnote>
  <w:footnote w:id="25010">
    <w:p>
      <w:pPr>
        <w:pStyle w:val="FootnoteText"/>
      </w:pPr>
      <w:r>
        <w:rPr>
          <w:rStyle w:val="FootnoteReference"/>
        </w:rPr>
        <w:footnoteRef/>
      </w:r>
      <w:r>
        <w:t xml:space="preserve">
          <w:r>
            <w:t xml:space="preserve">
              <w:r>
                <w:t xml:space="preserve"> Lit. “the Anointed One”</w:t>
              </w:r>
            </w:t>
          </w:r>
        </w:t>
      </w:r>
    </w:p>
  </w:footnote>
  <w:footnote w:id="30572">
    <w:p>
      <w:pPr>
        <w:pStyle w:val="FootnoteText"/>
      </w:pPr>
      <w:r>
        <w:rPr>
          <w:rStyle w:val="FootnoteReference"/>
        </w:rPr>
        <w:footnoteRef/>
      </w:r>
      <w:r>
        <w:t xml:space="preserve">
          <w:r>
            <w:t xml:space="preserve">
              <w:r>
                <w:t xml:space="preserve"> From Ps. 110:1</w:t>
              </w:r>
            </w:t>
          </w:r>
        </w:t>
      </w:r>
    </w:p>
  </w:footnote>
  <w:footnote w:id="24093">
    <w:p>
      <w:pPr>
        <w:pStyle w:val="FootnoteText"/>
      </w:pPr>
      <w:r>
        <w:rPr>
          <w:rStyle w:val="FootnoteReference"/>
        </w:rPr>
        <w:footnoteRef/>
      </w:r>
      <w:r>
        <w:t xml:space="preserve">
          <w:r>
            <w:t xml:space="preserve">
              <w:r>
                <w:t xml:space="preserve"> Lit. “the Anointed One”</w:t>
              </w:r>
            </w:t>
          </w:r>
        </w:t>
      </w:r>
    </w:p>
  </w:footnote>
  <w:footnote w:id="19671">
    <w:p>
      <w:pPr>
        <w:pStyle w:val="FootnoteText"/>
      </w:pPr>
      <w:r>
        <w:rPr>
          <w:rStyle w:val="FootnoteReference"/>
        </w:rPr>
        <w:footnoteRef/>
      </w:r>
      <w:r>
        <w:t xml:space="preserve">
          <w:r>
            <w:t xml:space="preserve">
              <w:r>
                <w:t xml:space="preserve"> From Ps. 118:26</w:t>
              </w:r>
            </w:t>
          </w:r>
        </w:t>
      </w:r>
    </w:p>
  </w:footnote>
  <w:footnote w:id="13429">
    <w:p>
      <w:pPr>
        <w:pStyle w:val="FootnoteText"/>
      </w:pPr>
      <w:r>
        <w:rPr>
          <w:rStyle w:val="FootnoteReference"/>
        </w:rPr>
        <w:footnoteRef/>
      </w:r>
      <w:r>
        <w:t xml:space="preserve">
          <w:r>
            <w:t xml:space="preserve">
              <w:r>
                <w:t xml:space="preserve"> Lit. “the Anointed One”</w:t>
              </w:r>
            </w:t>
          </w:r>
        </w:t>
      </w:r>
    </w:p>
  </w:footnote>
  <w:footnote w:id="27340">
    <w:p>
      <w:pPr>
        <w:pStyle w:val="FootnoteText"/>
      </w:pPr>
      <w:r>
        <w:rPr>
          <w:rStyle w:val="FootnoteReference"/>
        </w:rPr>
        <w:footnoteRef/>
      </w:r>
      <w:r>
        <w:t xml:space="preserve">
          <w:r>
            <w:t xml:space="preserve">
              <w:r>
                <w:t xml:space="preserve"> From Dan. 11:31</w:t>
              </w:r>
            </w:t>
          </w:r>
        </w:t>
      </w:r>
    </w:p>
  </w:footnote>
  <w:footnote w:id="18468">
    <w:p>
      <w:pPr>
        <w:pStyle w:val="FootnoteText"/>
      </w:pPr>
      <w:r>
        <w:rPr>
          <w:rStyle w:val="FootnoteReference"/>
        </w:rPr>
        <w:footnoteRef/>
      </w:r>
      <w:r>
        <w:t xml:space="preserve">
          <w:r>
            <w:t xml:space="preserve">
              <w:r>
                <w:t xml:space="preserve"> From Isa. 13:10</w:t>
              </w:r>
            </w:t>
          </w:r>
        </w:t>
      </w:r>
    </w:p>
  </w:footnote>
  <w:footnote w:id="25748">
    <w:p>
      <w:pPr>
        <w:pStyle w:val="FootnoteText"/>
      </w:pPr>
      <w:r>
        <w:rPr>
          <w:rStyle w:val="FootnoteReference"/>
        </w:rPr>
        <w:footnoteRef/>
      </w:r>
      <w:r>
        <w:t xml:space="preserve">
          <w:r>
            <w:t xml:space="preserve">
              <w:r>
                <w:t xml:space="preserve"> From Dan. 7:13</w:t>
              </w:r>
            </w:t>
          </w:r>
        </w:t>
      </w:r>
    </w:p>
  </w:footnote>
  <w:footnote w:id="10655">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1633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701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2449">
    <w:p>
      <w:pPr>
        <w:pStyle w:val="FootnoteText"/>
      </w:pPr>
      <w:r>
        <w:rPr>
          <w:rStyle w:val="FootnoteReference"/>
        </w:rPr>
        <w:footnoteRef/>
      </w:r>
      <w:r>
        <w:t xml:space="preserve">
          <w:r>
            <w:t xml:space="preserve">
              <w:r>
                <w:t xml:space="preserve"> Simon had a skin disease in the past but he was now cured. Traditionally “Leper,” but the Greek </w:t>
              </w:r>
              <w:r>
                <w:rPr>
                  <w:i/>
                </w:rPr>
                <w:t xml:space="preserve">lepros</w:t>
              </w:r>
              <w:r>
                <w:t xml:space="preserve"> can refer to many skin diseases.</w:t>
              </w:r>
            </w:t>
          </w:r>
        </w:t>
      </w:r>
    </w:p>
  </w:footnote>
  <w:footnote w:id="13139">
    <w:p>
      <w:pPr>
        <w:pStyle w:val="FootnoteText"/>
      </w:pPr>
      <w:r>
        <w:rPr>
          <w:rStyle w:val="FootnoteReference"/>
        </w:rPr>
        <w:footnoteRef/>
      </w:r>
      <w:r>
        <w:t xml:space="preserve">
          <w:r>
            <w:t xml:space="preserve">
              <w:r>
                <w:t xml:space="preserve"> From Zech. 13:7</w:t>
              </w:r>
            </w:t>
          </w:r>
        </w:t>
      </w:r>
    </w:p>
  </w:footnote>
  <w:footnote w:id="18176">
    <w:p>
      <w:pPr>
        <w:pStyle w:val="FootnoteText"/>
      </w:pPr>
      <w:r>
        <w:rPr>
          <w:rStyle w:val="FootnoteReference"/>
        </w:rPr>
        <w:footnoteRef/>
      </w:r>
      <w:r>
        <w:t xml:space="preserve">
          <w:r>
            <w:t xml:space="preserve">
              <w:r>
                <w:t xml:space="preserve"> Lit. “the Anointed One”</w:t>
              </w:r>
            </w:t>
          </w:r>
        </w:t>
      </w:r>
    </w:p>
  </w:footnote>
  <w:footnote w:id="25997">
    <w:p>
      <w:pPr>
        <w:pStyle w:val="FootnoteText"/>
      </w:pPr>
      <w:r>
        <w:rPr>
          <w:rStyle w:val="FootnoteReference"/>
        </w:rPr>
        <w:footnoteRef/>
      </w:r>
      <w:r>
        <w:t xml:space="preserve">
          <w:r>
            <w:t xml:space="preserve">
              <w:r>
                <w:t xml:space="preserve"> Jesus is alluding to Ps. 110:1; Dan. 7:13</w:t>
              </w:r>
            </w:t>
          </w:r>
        </w:t>
      </w:r>
    </w:p>
  </w:footnote>
  <w:footnote w:id="22355">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4062">
    <w:p>
      <w:pPr>
        <w:pStyle w:val="FootnoteText"/>
      </w:pPr>
      <w:r>
        <w:rPr>
          <w:rStyle w:val="FootnoteReference"/>
        </w:rPr>
        <w:footnoteRef/>
      </w:r>
      <w:r>
        <w:t xml:space="preserve">
          <w:r>
            <w:t xml:space="preserve">
              <w:r>
                <w:t xml:space="preserve"> From Zech. 11:12-13, but also “spoken” by Jeremiah.</w:t>
              </w:r>
            </w:t>
          </w:r>
        </w:t>
      </w:r>
    </w:p>
  </w:footnote>
  <w:footnote w:id="15626">
    <w:p>
      <w:pPr>
        <w:pStyle w:val="FootnoteText"/>
      </w:pPr>
      <w:r>
        <w:rPr>
          <w:rStyle w:val="FootnoteReference"/>
        </w:rPr>
        <w:footnoteRef/>
      </w:r>
      <w:r>
        <w:t xml:space="preserve">
          <w:r>
            <w:t xml:space="preserve">
              <w:r>
                <w:t xml:space="preserve"> Lit. “the Anointed One”</w:t>
              </w:r>
            </w:t>
          </w:r>
        </w:t>
      </w:r>
    </w:p>
  </w:footnote>
  <w:footnote w:id="2697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5632">
    <w:p>
      <w:pPr>
        <w:pStyle w:val="FootnoteText"/>
      </w:pPr>
      <w:r>
        <w:rPr>
          <w:rStyle w:val="FootnoteReference"/>
        </w:rPr>
        <w:footnoteRef/>
      </w:r>
      <w:r>
        <w:t xml:space="preserve">
          <w:r>
            <w:t xml:space="preserve">
              <w:r>
                <w:t xml:space="preserve"> Lit. “the praetorium”</w:t>
              </w:r>
            </w:t>
          </w:r>
        </w:t>
      </w:r>
    </w:p>
  </w:footnote>
  <w:footnote w:id="24161">
    <w:p>
      <w:pPr>
        <w:pStyle w:val="FootnoteText"/>
      </w:pPr>
      <w:r>
        <w:rPr>
          <w:rStyle w:val="FootnoteReference"/>
        </w:rPr>
        <w:footnoteRef/>
      </w:r>
      <w:r>
        <w:t xml:space="preserve">
          <w:r>
            <w:t xml:space="preserve">
              <w:r>
                <w:t xml:space="preserve"> A cohort was normally 600 men.</w:t>
              </w:r>
            </w:t>
          </w:r>
        </w:t>
      </w:r>
    </w:p>
  </w:footnote>
  <w:footnote w:id="21501">
    <w:p>
      <w:pPr>
        <w:pStyle w:val="FootnoteText"/>
      </w:pPr>
      <w:r>
        <w:rPr>
          <w:rStyle w:val="FootnoteReference"/>
        </w:rPr>
        <w:footnoteRef/>
      </w:r>
      <w:r>
        <w:t xml:space="preserve">
          <w:r>
            <w:t xml:space="preserve">
              <w:r>
                <w:t xml:space="preserve"> The sixth hour is about noon; the ninth hour is about 3 p.m.</w:t>
              </w:r>
            </w:t>
          </w:r>
        </w:t>
      </w:r>
    </w:p>
  </w:footnote>
  <w:footnote w:id="25633">
    <w:p>
      <w:pPr>
        <w:pStyle w:val="FootnoteText"/>
      </w:pPr>
      <w:r>
        <w:rPr>
          <w:rStyle w:val="FootnoteReference"/>
        </w:rPr>
        <w:footnoteRef/>
      </w:r>
      <w:r>
        <w:t xml:space="preserve">
          <w:r>
            <w:t xml:space="preserve">
              <w:r>
                <w:t xml:space="preserve"> From Ps. 22:1</w:t>
              </w:r>
            </w:t>
          </w:r>
        </w:t>
      </w:r>
    </w:p>
  </w:footnote>
  <w:footnote w:id="28062">
    <w:p>
      <w:pPr>
        <w:pStyle w:val="FootnoteText"/>
      </w:pPr>
      <w:r>
        <w:rPr>
          <w:rStyle w:val="FootnoteReference"/>
        </w:rPr>
        <w:footnoteRef/>
      </w:r>
      <w:r>
        <w:t xml:space="preserve">
          <w:r>
            <w:t xml:space="preserve">
              <w:r>
                <w:t xml:space="preserve"> “Lord” is being used as a respectful form of address, like “Sir.”</w:t>
              </w:r>
            </w:t>
          </w:r>
        </w:t>
      </w:r>
    </w:p>
  </w:footnote>
  <w:footnote w:id="24268">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481572">
    <w:multiLevelType w:val="hybridMultilevel"/>
    <w:lvl w:ilvl="0" w:tplc="10638614">
      <w:start w:val="1"/>
      <w:numFmt w:val="decimal"/>
      <w:lvlText w:val="%1."/>
      <w:lvlJc w:val="left"/>
      <w:pPr>
        <w:ind w:left="720" w:hanging="360"/>
      </w:pPr>
    </w:lvl>
    <w:lvl w:ilvl="1" w:tplc="10638614" w:tentative="1">
      <w:start w:val="1"/>
      <w:numFmt w:val="lowerLetter"/>
      <w:lvlText w:val="%2."/>
      <w:lvlJc w:val="left"/>
      <w:pPr>
        <w:ind w:left="1440" w:hanging="360"/>
      </w:pPr>
    </w:lvl>
    <w:lvl w:ilvl="2" w:tplc="10638614" w:tentative="1">
      <w:start w:val="1"/>
      <w:numFmt w:val="lowerRoman"/>
      <w:lvlText w:val="%3."/>
      <w:lvlJc w:val="right"/>
      <w:pPr>
        <w:ind w:left="2160" w:hanging="180"/>
      </w:pPr>
    </w:lvl>
    <w:lvl w:ilvl="3" w:tplc="10638614" w:tentative="1">
      <w:start w:val="1"/>
      <w:numFmt w:val="decimal"/>
      <w:lvlText w:val="%4."/>
      <w:lvlJc w:val="left"/>
      <w:pPr>
        <w:ind w:left="2880" w:hanging="360"/>
      </w:pPr>
    </w:lvl>
    <w:lvl w:ilvl="4" w:tplc="10638614" w:tentative="1">
      <w:start w:val="1"/>
      <w:numFmt w:val="lowerLetter"/>
      <w:lvlText w:val="%5."/>
      <w:lvlJc w:val="left"/>
      <w:pPr>
        <w:ind w:left="3600" w:hanging="360"/>
      </w:pPr>
    </w:lvl>
    <w:lvl w:ilvl="5" w:tplc="10638614" w:tentative="1">
      <w:start w:val="1"/>
      <w:numFmt w:val="lowerRoman"/>
      <w:lvlText w:val="%6."/>
      <w:lvlJc w:val="right"/>
      <w:pPr>
        <w:ind w:left="4320" w:hanging="180"/>
      </w:pPr>
    </w:lvl>
    <w:lvl w:ilvl="6" w:tplc="10638614" w:tentative="1">
      <w:start w:val="1"/>
      <w:numFmt w:val="decimal"/>
      <w:lvlText w:val="%7."/>
      <w:lvlJc w:val="left"/>
      <w:pPr>
        <w:ind w:left="5040" w:hanging="360"/>
      </w:pPr>
    </w:lvl>
    <w:lvl w:ilvl="7" w:tplc="10638614" w:tentative="1">
      <w:start w:val="1"/>
      <w:numFmt w:val="lowerLetter"/>
      <w:lvlText w:val="%8."/>
      <w:lvlJc w:val="left"/>
      <w:pPr>
        <w:ind w:left="5760" w:hanging="360"/>
      </w:pPr>
    </w:lvl>
    <w:lvl w:ilvl="8" w:tplc="10638614" w:tentative="1">
      <w:start w:val="1"/>
      <w:numFmt w:val="lowerRoman"/>
      <w:lvlText w:val="%9."/>
      <w:lvlJc w:val="right"/>
      <w:pPr>
        <w:ind w:left="6480" w:hanging="180"/>
      </w:pPr>
    </w:lvl>
  </w:abstractNum>
  <w:abstractNum w:abstractNumId="10333">
    <w:multiLevelType w:val="hybridMultilevel"/>
    <w:lvl w:ilvl="0" w:tplc="271289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33">
    <w:abstractNumId w:val="10333"/>
  </w:num>
  <w:num w:numId="51481572">
    <w:abstractNumId w:val="514815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4455095" Type="http://schemas.openxmlformats.org/officeDocument/2006/relationships/numbering" Target="numbering.xml"/><Relationship Id="rId671007095" Type="http://schemas.openxmlformats.org/officeDocument/2006/relationships/comments" Target="comments.xml"/><Relationship Id="rId115468680f470a52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