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them.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them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FootnoteReference"/>
        </w:rPr>
        <w:footnoteReference w:id="15538"/>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BDAG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12561"/>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w:t>
      </w:r>
      <w:r>
        <w:rPr>
          <w:i/>
          <w:iCs/>
        </w:rPr>
        <w:t xml:space="preserve">Greek-English Lexicon</w:t>
      </w:r>
      <w:r>
        <w:rPr/>
        <w:t xml:space="preserve">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 by giving us every spiritual blessing in the heavenly world.”</w:t>
      </w:r>
      <w:r>
        <w:rPr>
          <w:rStyle w:val="FootnoteReference"/>
        </w:rPr>
        <w:footnoteReference w:id="28115"/>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rather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and/or Ephesians 1:3 to express the relationship that exists between Christ and the believer who is “in” Christ, and many of them add the word “union” in other places in the New Testament as well.</w:t>
      </w:r>
      <w:r>
        <w:rPr>
          <w:rStyle w:val="FootnoteReference"/>
        </w:rPr>
        <w:footnoteReference w:id="10157"/>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to the praise of God’s glorious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places.”</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as “heavenly places.”</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FootnoteReference"/>
        </w:rPr>
        <w:footnoteReference w:id="15700"/>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CEB),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FootnoteReference"/>
        </w:rPr>
        <w:footnoteReference w:id="20870"/>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The Phillips New Testament reads: “He planned, in his purpose of love, that we should be adopted as his own children through Jesus Christ.” Ann Nyland also uses “plan.”</w:t>
      </w:r>
      <w:r>
        <w:rPr>
          <w:rStyle w:val="FootnoteReference"/>
        </w:rPr>
        <w:footnoteReference w:id="11601"/>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FootnoteReference"/>
        </w:rPr>
        <w:footnoteReference w:id="18219"/>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FootnoteReference"/>
        </w:rPr>
        <w:footnoteReference w:id="14479"/>
      </w:r>
      <w:r>
        <w:rPr/>
        <w:t xml:space="preserve"> The Greek Lexicon by Louw and Nida says: “to formally and legally declare that someone who is not one’s own child is henceforth to be treated and cared for as one’s own child, including complete rights of inheritance.”</w:t>
      </w:r>
      <w:r>
        <w:rPr>
          <w:rStyle w:val="FootnoteReference"/>
        </w:rPr>
        <w:footnoteReference w:id="29577"/>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FootnoteReference"/>
        </w:rPr>
        <w:footnoteReference w:id="26556"/>
      </w:r>
    </w:p>
    <w:p>
      <w:pPr>
        <w:pStyle w:val="rNormal"/>
        <w:widowControl w:val="on"/>
        <w:spacing w:before="240" w:after="240" w:line="240" w:lineRule="auto"/>
        <w:ind w:left="0" w:right="0"/>
        <w:jc w:val="left"/>
      </w:pPr>
      <w:r>
        <w:rPr/>
        <w:t xml:space="preserve">William Ramsay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w:t>
      </w:r>
      <w:r>
        <w:rPr>
          <w:rStyle w:val="FootnoteReference"/>
        </w:rPr>
        <w:footnoteReference w:id="12321"/>
      </w:r>
      <w:r>
        <w:rPr/>
        <w:t xml:space="preserve">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the adoption spoken of in the Epistles was not possible. Thus, no Old Testament believer was adopted into God’s family in the New Testament sense because that adoption was not available yet. Adoption was available only after Christ died, and God started to bring people into His family by “adoption” and “birth” on the Day of Pentecost, 50 days after Christ died on the cross.</w:t>
      </w:r>
    </w:p>
    <w:p>
      <w:pPr>
        <w:pStyle w:val="rNormal"/>
        <w:widowControl w:val="on"/>
        <w:spacing w:before="240" w:after="240" w:line="240" w:lineRule="auto"/>
        <w:ind w:left="0" w:right="0"/>
        <w:jc w:val="left"/>
      </w:pPr>
      <w:r>
        <w:rPr/>
        <w:t xml:space="preserve">Although the King James Version has “adopted as sons,”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FootnoteReference"/>
        </w:rPr>
        <w:footnoteReference w:id="31941"/>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FootnoteReference"/>
        </w:rPr>
        <w:footnoteReference w:id="21013"/>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provide clarity.</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w:t>
      </w:r>
      <w:r>
        <w:rPr>
          <w:i/>
          <w:iCs/>
        </w:rPr>
        <w:t xml:space="preserve">union with</w:t>
      </w:r>
      <w:r>
        <w:rPr/>
        <w:t xml:space="preserve">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FootnoteReference"/>
        </w:rPr>
        <w:footnoteReference w:id="25040"/>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both Louw-Nida and BDAG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FootnoteReference"/>
        </w:rPr>
        <w:footnoteReference w:id="30807"/>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FootnoteReference"/>
        </w:rPr>
        <w:footnoteReference w:id="18640"/>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FootnoteReference"/>
        </w:rPr>
        <w:footnoteReference w:id="11806"/>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klēroō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klēroō</w:t>
      </w:r>
      <w:r>
        <w:rPr/>
        <w:t xml:space="preserve">, it helps us to understand the noun, </w:t>
      </w:r>
      <w:r>
        <w:rPr>
          <w:i/>
          <w:iCs/>
        </w:rPr>
        <w:t xml:space="preserve">klēros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klēroō</w:t>
      </w:r>
      <w:r>
        <w:rPr/>
        <w:t xml:space="preserve"> was used in several ways. The basic meaning was simply “to cast lots” or “to determine something by casting lots.” However, that basic meaning was expanded so that </w:t>
      </w:r>
      <w:r>
        <w:rPr>
          <w:i/>
          <w:iCs/>
        </w:rPr>
        <w:t xml:space="preserve">klēroō</w:t>
      </w:r>
      <w:r>
        <w:rPr/>
        <w:t xml:space="preserve"> also came to be used for that which was assigned by lot. A third meaning that is harder to articulate but vital for the understanding of this verse is that </w:t>
      </w:r>
      <w:r>
        <w:rPr>
          <w:i/>
          <w:iCs/>
        </w:rPr>
        <w:t xml:space="preserve">klēroō</w:t>
      </w:r>
      <w:r>
        <w:rPr/>
        <w:t xml:space="preserve"> was used such that the thing chosen or won was itself the “lot.” In that usage, </w:t>
      </w:r>
      <w:r>
        <w:rPr>
          <w:i/>
          <w:iCs/>
        </w:rPr>
        <w:t xml:space="preserve">klēroō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klēroō</w:t>
      </w:r>
      <w:r>
        <w:rPr/>
        <w:t xml:space="preserve"> was used for someone or something that was a possession even when a “lot” was not specifically cast. We today do the same thing, and use words that have roots that were once meaningful but are now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klēroō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klēroō</w:t>
      </w:r>
      <w:r>
        <w:rPr/>
        <w:t xml:space="preserve"> in this verse. Is the verse saying that in Christ we </w:t>
      </w:r>
      <w:r>
        <w:rPr>
          <w:i/>
          <w:iCs/>
        </w:rPr>
        <w:t xml:space="preserve">received</w:t>
      </w:r>
      <w:r>
        <w:rPr/>
        <w:t xml:space="preserve"> an inheritance (ESV, HCSB,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true—believers receive an inheritance in Christ, and believers are an inheritance in Christ.</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possession. In the Old Testament, Israel was God’s possession (Deut. 4:20; 7:6; 9:26, 29; 14:2; 32:9). Deuteronomy 32:9 is very well-known: “Indeed, Yahweh’s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r>
        <w:rPr>
          <w:rStyle w:val="FootnoteReference"/>
        </w:rPr>
        <w:footnoteReference w:id="19448"/>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plan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forever with Him in His kingdom.</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FootnoteReference"/>
        </w:rPr>
        <w:footnoteReference w:id="25651"/>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FootnoteReference"/>
        </w:rPr>
        <w:footnoteReference w:id="15022"/>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FootnoteReference"/>
        </w:rPr>
        <w:footnoteReference w:id="15495"/>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AD 61 or 62.</w:t>
      </w:r>
    </w:p>
    <w:p>
      <w:pPr>
        <w:pStyle w:val="rNormal"/>
        <w:widowControl w:val="on"/>
        <w:spacing w:before="240" w:after="240" w:line="240" w:lineRule="auto"/>
        <w:ind w:left="0" w:right="0"/>
        <w:jc w:val="left"/>
      </w:pPr>
      <w:r>
        <w:rPr/>
        <w:t xml:space="preserve">The “you also” is important because, until the Administration of the Sacred Secret that started on the Day of Pentecost, the Gentiles were not fully included in all the blessings promised to the Jews. Ephesians 1:3-14 is a very long sentence in the Greek text, but in it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Ephesians 1:3-14 nears its end, God makes sure the Gentiles know that they are included. The phrase “in whom” refers to being in union with Christ. Thus, “In union with Christ, you [Gentiles] also…were sealed with the promised holy spirit that is the down payment of everlasting life in the future.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or she has faith in Christ. The individual may not outwardly manifest the holy spirit by things like speaking in tongues or prophecy at that time (in fact, they may never outwardly manifest the spirit), but they have been marked with God’s seal, which is the gift of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FootnoteReference"/>
        </w:rPr>
        <w:footnoteReference w:id="20740"/>
      </w:r>
      <w:r>
        <w:rPr/>
        <w:t xml:space="preserve"> The reason for what is now a misleading translation in the King James version is that 400 years ago when the King James version was translated,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jc w:val="left"/>
      </w:pPr>
      <w:r>
        <w:rPr/>
        <w:t xml:space="preserve">The phrase “marked with a seal” is from the verb </w:t>
      </w:r>
      <w:r>
        <w:rPr>
          <w:i/>
          <w:iCs/>
        </w:rPr>
        <w:t xml:space="preserve">sphragizō</w:t>
      </w:r>
      <w:r>
        <w:rPr/>
        <w:t xml:space="preserve"> (#4972 σφραγίζω), which has several different primary meanings (BDAG gives five), but two primary options for what it means here in Ephesians 1:13. Those two are either “to seal up, to close up tight” or “to mark with a seal as a means of identification.”</w:t>
      </w:r>
      <w:r>
        <w:rPr>
          <w:rStyle w:val="FootnoteReference"/>
        </w:rPr>
        <w:footnoteReference w:id="25758"/>
      </w:r>
    </w:p>
    <w:p>
      <w:pPr>
        <w:pStyle w:val="rNormal"/>
        <w:widowControl w:val="on"/>
        <w:spacing w:before="240" w:after="240" w:line="240" w:lineRule="auto"/>
        <w:ind w:left="0" w:right="0"/>
        <w:jc w:val="left"/>
      </w:pPr>
      <w:r>
        <w:rPr/>
        <w:t xml:space="preserve">If the meaning in this context is “to seal up, close up tight,” it could be translated as, “when you believed in him, were sealed up with the promised holy spirit.” This verse would then support (but not demand) the idea that a person cannot forfeit their salvation. It is worth noting, however, that although BDAG gives “seal up” as a definition of </w:t>
      </w:r>
      <w:r>
        <w:rPr>
          <w:i/>
          <w:iCs/>
        </w:rPr>
        <w:t xml:space="preserve">sphragizō</w:t>
      </w:r>
      <w:r>
        <w:rPr/>
        <w:t xml:space="preserve">, it does not give any examples of that definition being used in the New Testament; all of the examples come from secular Greek or the Septuagint.</w:t>
      </w:r>
    </w:p>
    <w:p>
      <w:pPr>
        <w:pStyle w:val="rNormal"/>
        <w:widowControl w:val="on"/>
        <w:spacing w:before="240" w:after="240" w:line="240" w:lineRule="auto"/>
        <w:ind w:left="0" w:right="0"/>
        <w:jc w:val="left"/>
      </w:pPr>
      <w:r>
        <w:rPr/>
        <w:t xml:space="preserve">The second primary translation option is “to mark with a seal.” If that option applies (and BDAG says it does), the verse would be translated, “and when you believed in him, you were marked with a seal—the promised holy spirit. This would denote that God figuratively put a seal on Christians to mark them out as His own. The word </w:t>
      </w:r>
      <w:r>
        <w:rPr>
          <w:i/>
          <w:iCs/>
        </w:rPr>
        <w:t xml:space="preserve">sphragizō</w:t>
      </w:r>
      <w:r>
        <w:rPr/>
        <w:t xml:space="preserve"> is used this way quite often in the ancient Greek papyrus in the context of marking animals. The owner would </w:t>
      </w:r>
      <w:r>
        <w:rPr>
          <w:i/>
          <w:iCs/>
        </w:rPr>
        <w:t xml:space="preserve">sphragizō</w:t>
      </w:r>
      <w:r>
        <w:rPr/>
        <w:t xml:space="preserve"> their animals, putting a “seal” (or “brand”) on them so that people would know who owns them, similar to the way cattle are branded today to indicate who owns them. In the context here in Ephesians, the holy spirit would be what God is “sealing” Christians with, thereby marking His rulership and protection over them as His children. If the concept of “sealing” to indicate ownership was more common in the modern world, the translation “sealed with holy spirit” would be acceptable and not too confusing, but since we don’t “seal” things very often today to indicate our ownership, “sealed with holy spirit” is too confusing to put in the text. Perhaps a paraphrastic version of the Bible that used more jargon and colloquial English could say “when you believed you were branded with the promised holy spirit,” and that would get the point across, but that translation would not work in most modern Bibles.</w:t>
      </w:r>
    </w:p>
    <w:p>
      <w:pPr>
        <w:pStyle w:val="rNormal"/>
        <w:widowControl w:val="on"/>
        <w:spacing w:before="240" w:after="240" w:line="240" w:lineRule="auto"/>
        <w:ind w:left="0" w:right="0"/>
        <w:jc w:val="left"/>
      </w:pPr>
      <w:r>
        <w:rPr/>
        <w:t xml:space="preserve">Of the two possible meanings of </w:t>
      </w:r>
      <w:r>
        <w:rPr>
          <w:i/>
          <w:iCs/>
        </w:rPr>
        <w:t xml:space="preserve">sphragizō</w:t>
      </w:r>
      <w:r>
        <w:rPr/>
        <w:t xml:space="preserve">, the context better supports the idea that Paul is using </w:t>
      </w:r>
      <w:r>
        <w:rPr>
          <w:i/>
          <w:iCs/>
        </w:rPr>
        <w:t xml:space="preserve">sphragizō</w:t>
      </w:r>
      <w:r>
        <w:rPr/>
        <w:t xml:space="preserve"> to signify ownership. In the surrounding context, in Ephesians 1:11 and Ephesians 1:14, Christians are described as God’s “possession,” and Paul also uses the term “adoption” (Eph. 1:5) to describe the Christian’s identity as belonging to God—being part of His family. Paul has in mind God’s ownership of Christians and how He loves his children like any good father would (Eph. 1:3-4, 6-8). Therefore, when arriving at Ephesians 1:13, the contextual evidence supports that Paul is using </w:t>
      </w:r>
      <w:r>
        <w:rPr>
          <w:i/>
          <w:iCs/>
        </w:rPr>
        <w:t xml:space="preserve">sphragizō</w:t>
      </w:r>
      <w:r>
        <w:rPr/>
        <w:t xml:space="preserve"> to signify God’s ownership over his children, how He “marked them with a seal—the promised holy spirit.” The ISBE says this, “God by His Spirit indicates who are His, as the owner sets his seal on his property; and just as documents are sealed up until the proper time for opening them, so Christians are sealed up by the Holy Spirit ‘unto the day of redemption’ (Eph 1:13; 4:30; 2 Cor 1:22).”</w:t>
      </w:r>
      <w:r>
        <w:rPr>
          <w:rStyle w:val="FootnoteReference"/>
        </w:rPr>
        <w:footnoteReference w:id="23875"/>
      </w:r>
    </w:p>
    <w:p>
      <w:pPr>
        <w:pStyle w:val="rNormal"/>
        <w:widowControl w:val="on"/>
        <w:spacing w:before="240" w:after="240" w:line="240" w:lineRule="auto"/>
        <w:ind w:left="0" w:right="0"/>
        <w:jc w:val="left"/>
      </w:pPr>
      <w:r>
        <w:rPr/>
        <w:t xml:space="preserve">In contrast to marking ownership,</w:t>
      </w:r>
      <w:r>
        <w:rPr/>
        <w:t xml:space="preserve"> the language of “sealing” in order to make something secure</w:t>
      </w:r>
      <w:r>
        <w:rPr>
          <w:rStyle w:val="FootnoteReference"/>
        </w:rPr>
        <w:footnoteReference w:id="21839"/>
      </w:r>
      <w:r>
        <w:rPr/>
        <w:t xml:space="preserve"> does not fit the context. There is no indication in the context that God is trying to state that the Christian is “sealed up.” Given the evidence, the best understanding of the phrase is, “and when you believed in him, were marked with a seal—the promised holy spirit.” In the end, this verse is not concerned with the question of can you forfeit your salvation. Rather, Paul is teaching that God has set a seal of identification on his children, namely, the holy spirit (cf. Rom. 8:14).</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future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(cf. 1 Cor. 12:10). What Christians today have is the firstfruits of the gift of holy spirit that God promised to pour out in the future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now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to be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6947"/>
        </w:numPr>
        <w:spacing w:before="0" w:after="0" w:line="240" w:lineRule="auto"/>
        <w:rPr/>
      </w:pPr>
      <w:r>
        <w:rPr/>
        <w:t xml:space="preserve">Isa. 44:3-5. The new holy spirit would influence people to obey God</w:t>
      </w:r>
    </w:p>
    <w:p>
      <w:pPr>
        <w:numPr>
          <w:ilvl w:val="0"/>
          <w:numId w:val="6947"/>
        </w:numPr>
        <w:spacing w:before="0" w:after="0" w:line="240" w:lineRule="auto"/>
        <w:rPr/>
      </w:pPr>
      <w:r>
        <w:rPr/>
        <w:t xml:space="preserve">Ezek. 11:19-20. The new holy spirit would be “in” people so that they would obey God</w:t>
      </w:r>
    </w:p>
    <w:p>
      <w:pPr>
        <w:numPr>
          <w:ilvl w:val="0"/>
          <w:numId w:val="6947"/>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6947"/>
        </w:numPr>
        <w:spacing w:before="0" w:after="0" w:line="240" w:lineRule="auto"/>
        <w:rPr/>
      </w:pPr>
      <w:r>
        <w:rPr/>
        <w:t xml:space="preserve">Ezek. 39:29. The new holy spirit would give an intimacy between God and people that did not exist before.</w:t>
      </w:r>
    </w:p>
    <w:p>
      <w:pPr>
        <w:numPr>
          <w:ilvl w:val="0"/>
          <w:numId w:val="6947"/>
        </w:numPr>
        <w:spacing w:before="0" w:after="0" w:line="240" w:lineRule="auto"/>
        <w:rPr/>
      </w:pPr>
      <w:r>
        <w:rPr/>
        <w:t xml:space="preserve">Joel 2:28-29. Spirit will be poured out and people will be moved by the spirit. The holy spirit will enable manifestations of the spirit.</w:t>
      </w:r>
    </w:p>
    <w:p>
      <w:pPr>
        <w:numPr>
          <w:ilvl w:val="0"/>
          <w:numId w:val="6947"/>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SPIRIT</w:t>
      </w:r>
    </w:p>
    <w:p>
      <w:pPr>
        <w:numPr>
          <w:ilvl w:val="0"/>
          <w:numId w:val="6947"/>
        </w:numPr>
        <w:spacing w:before="0" w:after="0" w:line="240" w:lineRule="auto"/>
        <w:rPr/>
      </w:pPr>
      <w:r>
        <w:rPr/>
        <w:t xml:space="preserve">John 7:37-39.</w:t>
      </w:r>
    </w:p>
    <w:p>
      <w:pPr>
        <w:numPr>
          <w:ilvl w:val="0"/>
          <w:numId w:val="6947"/>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6947"/>
        </w:numPr>
        <w:spacing w:before="0" w:after="0" w:line="240" w:lineRule="auto"/>
        <w:rPr/>
      </w:pPr>
      <w:r>
        <w:rPr/>
        <w:t xml:space="preserve">Luke 24:49. I will send the promise of my Father</w:t>
      </w:r>
    </w:p>
    <w:p>
      <w:pPr>
        <w:numPr>
          <w:ilvl w:val="0"/>
          <w:numId w:val="6947"/>
        </w:numPr>
        <w:spacing w:before="0" w:after="0" w:line="240" w:lineRule="auto"/>
        <w:rPr/>
      </w:pPr>
      <w:r>
        <w:rPr/>
        <w:t xml:space="preserve">John 20:22. Jesus breathed on them and said, “Receive holy spirit.”</w:t>
      </w:r>
    </w:p>
    <w:p>
      <w:pPr>
        <w:numPr>
          <w:ilvl w:val="0"/>
          <w:numId w:val="6947"/>
        </w:numPr>
        <w:spacing w:before="0" w:after="0" w:line="240" w:lineRule="auto"/>
        <w:rPr/>
      </w:pPr>
      <w:r>
        <w:rPr/>
        <w:t xml:space="preserve">Acts 1:8. The holy spirit would give believers power</w:t>
      </w:r>
    </w:p>
    <w:p>
      <w:pPr>
        <w:numPr>
          <w:ilvl w:val="0"/>
          <w:numId w:val="6947"/>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6947"/>
        </w:numPr>
        <w:spacing w:before="0" w:after="0" w:line="240" w:lineRule="auto"/>
        <w:rPr/>
      </w:pPr>
      <w:r>
        <w:rPr/>
        <w:t xml:space="preserve">Acts 2:33.</w:t>
      </w:r>
    </w:p>
    <w:p>
      <w:pPr>
        <w:numPr>
          <w:ilvl w:val="0"/>
          <w:numId w:val="6947"/>
        </w:numPr>
        <w:spacing w:before="0" w:after="0" w:line="240" w:lineRule="auto"/>
        <w:rPr/>
      </w:pPr>
      <w:r>
        <w:rPr/>
        <w:t xml:space="preserve">Gal. 3:14. The promised spirit.</w:t>
      </w:r>
    </w:p>
    <w:p>
      <w:pPr>
        <w:numPr>
          <w:ilvl w:val="0"/>
          <w:numId w:val="6947"/>
        </w:numPr>
        <w:spacing w:before="0" w:after="0" w:line="240" w:lineRule="auto"/>
        <w:rPr/>
      </w:pPr>
      <w:r>
        <w:rPr/>
        <w:t xml:space="preserve">Rom. 8:23.</w:t>
      </w:r>
    </w:p>
    <w:p>
      <w:pPr>
        <w:numPr>
          <w:ilvl w:val="0"/>
          <w:numId w:val="6947"/>
        </w:numPr>
        <w:spacing w:before="0" w:after="0" w:line="240" w:lineRule="auto"/>
        <w:rPr/>
      </w:pPr>
      <w:r>
        <w:rPr/>
        <w:t xml:space="preserve">Eph. 1:13.</w:t>
      </w:r>
    </w:p>
    <w:p>
      <w:pPr>
        <w:pStyle w:val="rNormal"/>
        <w:widowControl w:val="on"/>
        <w:spacing w:before="240" w:after="240" w:line="240" w:lineRule="auto"/>
        <w:ind w:left="0" w:right="0"/>
        <w:jc w:val="left"/>
      </w:pPr>
      <w:r>
        <w:rPr/>
        <w:t xml:space="preserve">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“down payment”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promised holy spirit, see commentary on John 7:39. For more information on the uses of “holy spirit,” see Word Study: “Pneuma.”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FootnoteReference"/>
        </w:rPr>
        <w:footnoteReference w:id="24373"/>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that payment-in-full would follow. The “down payment” is not the full payment; it is only an agreement that full payment will be made in the future. The </w:t>
      </w:r>
      <w:r>
        <w:rPr>
          <w:i/>
          <w:iCs/>
        </w:rPr>
        <w:t xml:space="preserve">arrabōn</w:t>
      </w:r>
      <w:r>
        <w:rPr/>
        <w:t xml:space="preserve"> is “a part given in advance of what will be bestowed fully afterward.”</w:t>
      </w:r>
      <w:r>
        <w:rPr>
          <w:rStyle w:val="FootnoteReference"/>
        </w:rPr>
        <w:footnoteReference w:id="12489"/>
      </w:r>
      <w:r>
        <w:rPr/>
        <w:t xml:space="preserve"> In other words, the gift of holy spirit is a down payment that verifies that in the future, the believer will receive the promised inheritance God has for His people, but the believer has to bring the full payment—trust (1 Pet. 1:5). The word </w:t>
      </w:r>
      <w:r>
        <w:rPr>
          <w:i/>
          <w:iCs/>
        </w:rPr>
        <w:t xml:space="preserve">arrabōn</w:t>
      </w:r>
      <w:r>
        <w:rPr/>
        <w:t xml:space="preserve"> only occurs 4 times in the New Testament, and only in the Church Epistles (2 Cor. 1:22; 5:5; Eph. 1:14).</w:t>
      </w:r>
    </w:p>
    <w:p>
      <w:pPr>
        <w:pStyle w:val="rNormal"/>
        <w:widowControl w:val="on"/>
        <w:spacing w:before="240" w:after="240" w:line="240" w:lineRule="auto"/>
        <w:ind w:left="0" w:right="0"/>
        <w:jc w:val="left"/>
      </w:pPr>
      <w:r>
        <w:rPr/>
        <w:t xml:space="preserve">Does Paul’s use of the word </w:t>
      </w:r>
      <w:r>
        <w:rPr>
          <w:i/>
          <w:iCs/>
        </w:rPr>
        <w:t xml:space="preserve">arrabōn</w:t>
      </w:r>
      <w:r>
        <w:rPr/>
        <w:t xml:space="preserve"> mean that a Christian’s salvation is permanent and cannot be undone? Many translations translate </w:t>
      </w:r>
      <w:r>
        <w:rPr>
          <w:i/>
          <w:iCs/>
        </w:rPr>
        <w:t xml:space="preserve">arrabōn</w:t>
      </w:r>
      <w:r>
        <w:rPr/>
        <w:t xml:space="preserve"> as “guarantee” and thus certainly imply that one’s salvation is permanent (cf. CJB, ESV, NIV, NKJV, NLT, and RSV). However, the Greek word </w:t>
      </w:r>
      <w:r>
        <w:rPr>
          <w:i/>
          <w:iCs/>
        </w:rPr>
        <w:t xml:space="preserve">arrabōn</w:t>
      </w:r>
      <w:r>
        <w:rPr/>
        <w:t xml:space="preserve"> does not necessarily mean “guarantee” in our modern sense of the word that assures that something “guaranteed” will absolutely happen. In speaking of </w:t>
      </w:r>
      <w:r>
        <w:rPr>
          <w:i/>
          <w:iCs/>
        </w:rPr>
        <w:t xml:space="preserve">arrabōn,</w:t>
      </w:r>
      <w:r>
        <w:rPr/>
        <w:t xml:space="preserve"> Markus Barth says, “Papyri quoted by J. A. Robinson show that the first installment was lost if the buyer defaulted on the later payments; if, however, the vendor was unable to deliver the promised goods he had to pay back double the amount of the earnest.”</w:t>
      </w:r>
      <w:r>
        <w:rPr>
          <w:rStyle w:val="FootnoteReference"/>
        </w:rPr>
        <w:footnoteReference w:id="22805"/>
      </w:r>
      <w:r>
        <w:rPr/>
        <w:t xml:space="preserve"> Additionally, the ISBE specifies that, “The term is mercantile and comes originally from the Phoenicians. Its general meaning is that of a pledge or token given as the assurance of the fulfillment of a bargain or promise. It also carries with it the idea of forfeit, such as is now common in land deals, only from the obverse side.”</w:t>
      </w:r>
      <w:r>
        <w:rPr>
          <w:rStyle w:val="FootnoteReference"/>
        </w:rPr>
        <w:footnoteReference w:id="10279"/>
      </w:r>
    </w:p>
    <w:p>
      <w:pPr>
        <w:pStyle w:val="rNormal"/>
        <w:widowControl w:val="on"/>
        <w:spacing w:before="240" w:after="240" w:line="240" w:lineRule="auto"/>
        <w:ind w:left="0" w:right="0"/>
        <w:jc w:val="left"/>
      </w:pPr>
      <w:r>
        <w:rPr/>
        <w:t xml:space="preserve">So, the </w:t>
      </w:r>
      <w:r>
        <w:rPr>
          <w:i/>
          <w:iCs/>
        </w:rPr>
        <w:t xml:space="preserve">arrabōn</w:t>
      </w:r>
      <w:r>
        <w:rPr/>
        <w:t xml:space="preserve"> was given conditionally. It was not an absolute guarantee that the one who received the down payment would also receive the full inheritance later. Both commentaries quoted above note that the </w:t>
      </w:r>
      <w:r>
        <w:rPr>
          <w:i/>
          <w:iCs/>
        </w:rPr>
        <w:t xml:space="preserve">arrabōn</w:t>
      </w:r>
      <w:r>
        <w:rPr/>
        <w:t xml:space="preserve"> could be forfeited if the conditions of the deal were not met by one of the parties. Since the </w:t>
      </w:r>
      <w:r>
        <w:rPr>
          <w:i/>
          <w:iCs/>
        </w:rPr>
        <w:t xml:space="preserve">arrabōn</w:t>
      </w:r>
      <w:r>
        <w:rPr/>
        <w:t xml:space="preserve"> was forfeitable, what this means is that Christians have to hold up their end of the deal in order to receive the promised inheritance, it does not mean that Christians should be unsure if God will hold up His end of the deal, of course He will because He keeps His promises (Josh. 23:14; Psa. 145:13; Heb. 10:23). What is the Christian’s obligation? To believe (trust) in Christ Jesus (Rom. 10:9; Acts 16:31), and to endure in that belief (1 Cor. 15:1-2; Col. 1:23; 2 Tim. 2:12; 1 Pet. 1:5; 2 Pet. 2:20). If Christians do not continue in belief, then we have forfeited our salvation and inheritance. That is why 1 Peter 1:5 says that it is through “trust” that we are being guarded by the power of God for our future salvation.</w:t>
      </w:r>
    </w:p>
    <w:p>
      <w:pPr>
        <w:pStyle w:val="rNormal"/>
        <w:widowControl w:val="on"/>
        <w:spacing w:before="240" w:after="240" w:line="240" w:lineRule="auto"/>
        <w:ind w:left="0" w:right="0"/>
        <w:jc w:val="left"/>
      </w:pPr>
      <w:r>
        <w:rPr/>
        <w:t xml:space="preserve">When Christians get “born again,” they get the gift of holy spirit inside them until the day of redemption, and that holy spirit is an </w:t>
      </w:r>
      <w:r>
        <w:rPr>
          <w:i/>
          <w:iCs/>
        </w:rPr>
        <w:t xml:space="preserve">arrabōn</w:t>
      </w:r>
      <w:r>
        <w:rPr/>
        <w:t xml:space="preserve">, a down payment, or first installment, that they will get the full payment (Eph. 1:13-14). The full payment includes everlasting life, rewards (2 Cor. 5:10), and getting a new body like Christ’s glorious body (Phil. 3:20-21).</w:t>
      </w:r>
    </w:p>
    <w:p>
      <w:pPr>
        <w:pStyle w:val="rNormal"/>
        <w:widowControl w:val="on"/>
        <w:spacing w:before="240" w:after="240" w:line="240" w:lineRule="auto"/>
        <w:ind w:left="0" w:right="0"/>
        <w:jc w:val="left"/>
      </w:pPr>
      <w:r>
        <w:rPr/>
        <w:t xml:space="preserve">So, we Christians did our part of the deal when we obeyed Romans 10:9, and at that time, God gave us a “down payment” of what we would have in the future. But even though we only have a “down payment” of what is coming to us in the future, we still went through immense changes when we took Christ as Lord. We were born again (1 Pet. 1:23), and became children of God (1 John 3:1-2). We were also marked with a seal—the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promised, given we have continued in our trust in Jesus.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marked with a seal—the holy spirit “until </w:t>
      </w:r>
      <w:r>
        <w:rPr>
          <w:i/>
          <w:iCs/>
        </w:rPr>
        <w:t xml:space="preserve">our</w:t>
      </w:r>
      <w:r>
        <w:rPr/>
        <w:t xml:space="preserve"> redemption as </w:t>
      </w:r>
      <w:r>
        <w:rPr>
          <w:i/>
          <w:iCs/>
        </w:rPr>
        <w:t xml:space="preserve">God’s own</w:t>
      </w:r>
      <w:r>
        <w:rPr/>
        <w:t xml:space="preserve"> possession,” that is,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that must be asked is, “What is the possession that is being redeemed?” In the context, Christians are described as God’s possession (Eph. 1:12), whom he adopted (Eph. 1:5) and redeems (Eph. 1:7). Therefore, Christians are the possession that is being redeemed. The objective genitive in the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that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 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down payment that the product, which is complete redemption from sin and death, will be delivered—God will keep His part of the deal, so now to complete the deal Christians must do their part and continue in their trust of Christ..</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in English has come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FootnoteReference"/>
        </w:rPr>
        <w:footnoteReference w:id="28894"/>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FootnoteReference"/>
        </w:rPr>
        <w:footnoteReference w:id="29169"/>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ESV, HCSB, NAB; cf.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FootnoteReference"/>
        </w:rPr>
        <w:footnoteReference w:id="20934"/>
      </w:r>
      <w:r>
        <w:rPr/>
        <w:t xml:space="preserve"> Andrew Lincoln writes that in Ephesians 1:18, “it is the object of hope, that which is hoped for, which is in view.”</w:t>
      </w:r>
      <w:r>
        <w:rPr>
          <w:rStyle w:val="FootnoteReference"/>
        </w:rPr>
        <w:footnoteReference w:id="28051"/>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FootnoteReference"/>
        </w:rPr>
        <w:footnoteReference w:id="22680"/>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FootnoteReference"/>
        </w:rPr>
        <w:footnoteReference w:id="26585"/>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FootnoteReference"/>
        </w:rPr>
        <w:footnoteReference w:id="16211"/>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that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less 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FootnoteReference"/>
        </w:rPr>
        <w:footnoteReference w:id="13429"/>
      </w:r>
      <w:r>
        <w:rPr/>
        <w:t xml:space="preserve"> R. C. H. Lenski agrees and writes, “God has promised us this inheritance for which we hope; we already have the down payment of it (Eph. 1:14).”</w:t>
      </w:r>
      <w:r>
        <w:rPr>
          <w:rStyle w:val="FootnoteReference"/>
        </w:rPr>
        <w:footnoteReference w:id="10295"/>
      </w:r>
      <w:r>
        <w:rPr/>
        <w:t xml:space="preserve"> The CJB translates the phrase: “what rich glories there are in the inheritance he has promised his people.”</w:t>
      </w:r>
      <w:r>
        <w:rPr>
          <w:rStyle w:val="FootnoteReference"/>
        </w:rPr>
        <w:footnoteReference w:id="19576"/>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earthly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invoke the name of the Lord Jesus over those who had the evil spirits,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dwelt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on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as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FootnoteReference"/>
        </w:rPr>
        <w:footnoteReference w:id="31415"/>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is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FootnoteReference"/>
        </w:rPr>
        <w:footnoteReference w:id="29159"/>
      </w:r>
      <w:r>
        <w:rPr/>
        <w:t xml:space="preserve"> Heinrich Meyer writes, “The dative connotes the </w:t>
      </w:r>
      <w:r>
        <w:rPr>
          <w:i/>
          <w:iCs/>
        </w:rPr>
        <w:t xml:space="preserve">causa efficiens</w:t>
      </w:r>
      <w:r>
        <w:rPr/>
        <w:t xml:space="preserve">, ‘efficient cause’ of the death.”</w:t>
      </w:r>
      <w:r>
        <w:rPr>
          <w:rStyle w:val="FootnoteReference"/>
        </w:rPr>
        <w:footnoteReference w:id="18194"/>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FootnoteReference"/>
        </w:rPr>
        <w:footnoteReference w:id="30576"/>
      </w:r>
    </w:p>
    <w:p>
      <w:pPr>
        <w:pStyle w:val="rNormal"/>
        <w:widowControl w:val="on"/>
        <w:spacing w:before="240" w:after="240" w:line="240" w:lineRule="auto"/>
        <w:ind w:left="0" w:right="0"/>
        <w:jc w:val="left"/>
      </w:pPr>
      <w:r>
        <w:rPr/>
        <w:t xml:space="preserve">Markus Barth speaks of “dead” as having a “prophetic tone.”</w:t>
      </w:r>
      <w:r>
        <w:rPr>
          <w:rStyle w:val="FootnoteReference"/>
        </w:rPr>
        <w:footnoteReference w:id="27240"/>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from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ontas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30821"/>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KJV).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FootnoteReference"/>
        </w:rPr>
        <w:footnoteReference w:id="26518"/>
      </w:r>
      <w:r>
        <w:rPr/>
        <w:t xml:space="preserve"> and it seems most fitting. Paul would be describing the Devil as “the ruler of the domain of the air,” the one who rules over the evil spiritual forces in the air (Eph. 6:12), the authority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w:t>
      </w:r>
      <w:r>
        <w:rPr>
          <w:rStyle w:val="FootnoteReference"/>
        </w:rPr>
        <w:footnoteReference w:id="32722"/>
      </w:r>
      <w:r>
        <w:rPr/>
        <w:t xml:space="preserve">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[For more on “in </w:t>
      </w:r>
      <w:r>
        <w:rPr>
          <w:i/>
          <w:iCs/>
        </w:rPr>
        <w:t xml:space="preserve">union with</w:t>
      </w:r>
      <w:r>
        <w:rPr/>
        <w:t xml:space="preserve">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“raised … 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FootnoteReference"/>
        </w:rPr>
        <w:footnoteReference w:id="32575"/>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FootnoteReference"/>
        </w:rPr>
        <w:footnoteReference w:id="30603"/>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they bring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13908"/>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FootnoteReference"/>
        </w:rPr>
        <w:footnoteReference w:id="20403"/>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(e.g.,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by grace through </w:t>
      </w:r>
      <w:r>
        <w:rPr>
          <w:i/>
          <w:iCs/>
        </w:rPr>
        <w:t xml:space="preserve">your</w:t>
      </w:r>
      <w:r>
        <w:rPr/>
        <w:t xml:space="preserve"> trust”), verses that state we are in the process of being saved now (1 Cor. 1:18, “But to us who are being saved, it [the cross] is the power of God”), and verses stating that our salvation is still future (Rom. 5:10, that we “will be saved”; Rom. 13:11, “now our salvation is nearer than when we </w:t>
      </w:r>
      <w:r>
        <w:rPr>
          <w:i/>
          <w:iCs/>
        </w:rPr>
        <w:t xml:space="preserve">first</w:t>
      </w:r>
      <w:r>
        <w:rPr/>
        <w:t xml:space="preserve">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“For by the spirit </w:t>
      </w:r>
      <w:r>
        <w:rPr>
          <w:i/>
          <w:iCs/>
        </w:rPr>
        <w:t xml:space="preserve">and</w:t>
      </w:r>
      <w:r>
        <w:rPr/>
        <w:t xml:space="preserve"> based on trust, we eagerly wait for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30262"/>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FootnoteReference"/>
        </w:rPr>
        <w:footnoteReference w:id="30047"/>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FootnoteReference"/>
        </w:rPr>
        <w:footnoteReference w:id="27105"/>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FootnoteReference"/>
        </w:rPr>
        <w:footnoteReference w:id="29525"/>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FootnoteReference"/>
        </w:rPr>
        <w:footnoteReference w:id="32019"/>
      </w:r>
      <w:r>
        <w:rPr/>
        <w:t xml:space="preserve"> (Robertson agrees).</w:t>
      </w:r>
      <w:r>
        <w:rPr>
          <w:rStyle w:val="FootnoteReference"/>
        </w:rPr>
        <w:footnoteReference w:id="11136"/>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FootnoteReference"/>
        </w:rPr>
        <w:footnoteReference w:id="13469"/>
      </w:r>
      <w:r>
        <w:rPr/>
        <w:t xml:space="preserve"> We believe Robertson is correct when he writes: “‘Grace’ is God’s part, ‘faith’ ours.”</w:t>
      </w:r>
      <w:r>
        <w:rPr>
          <w:rStyle w:val="FootnoteReference"/>
        </w:rPr>
        <w:footnoteReference w:id="23743"/>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FootnoteReference"/>
        </w:rPr>
        <w:footnoteReference w:id="25133"/>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FootnoteReference"/>
        </w:rPr>
        <w:footnoteReference w:id="23725"/>
      </w:r>
    </w:p>
    <w:p>
      <w:pPr>
        <w:pStyle w:val="rNormal"/>
        <w:widowControl w:val="on"/>
        <w:spacing w:before="240" w:after="240" w:line="240" w:lineRule="auto"/>
        <w:ind w:left="0" w:right="0"/>
        <w:jc w:val="left"/>
      </w:pPr>
      <w:r>
        <w:rPr/>
        <w:t xml:space="preserve">Although identifying the “dividing wall” is a large source of debate, one good possibility is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FootnoteReference"/>
        </w:rPr>
        <w:footnoteReference w:id="10725"/>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w:t>
      </w:r>
      <w:r>
        <w:rPr>
          <w:i/>
          <w:iCs/>
        </w:rPr>
        <w:t xml:space="preserve">phragmos</w:t>
      </w:r>
      <w:r>
        <w:rPr/>
        <w:t xml:space="preserve">” which some translations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FootnoteReference"/>
        </w:rPr>
        <w:footnoteReference w:id="13050"/>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FootnoteReference"/>
        </w:rPr>
        <w:footnoteReference w:id="30020"/>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FootnoteReference"/>
        </w:rPr>
        <w:footnoteReference w:id="17648"/>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FootnoteReference"/>
        </w:rPr>
        <w:footnoteReference w:id="29489"/>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Samaritans,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FootnoteReference"/>
        </w:rPr>
        <w:footnoteReference w:id="22341"/>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whom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w:t>
      </w:r>
      <w:r>
        <w:rPr>
          <w:rStyle w:val="FootnoteReference"/>
        </w:rPr>
        <w:footnoteReference w:id="14034"/>
      </w:r>
      <w:r>
        <w:rPr/>
        <w:t xml:space="preserv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FootnoteReference"/>
        </w:rPr>
        <w:footnoteReference w:id="21264"/>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FootnoteReference"/>
        </w:rPr>
        <w:footnoteReference w:id="21237"/>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so, and quoted Exodus 21:10? Can a Christian marry more than one wife just because a verse in the Bible says it is allowable? No, because we must consider where the Bible says that, and to whom God was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FootnoteReference"/>
        </w:rPr>
        <w:footnoteReference w:id="16198"/>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78695189"/>
        </w:numPr>
        <w:spacing w:before="0" w:after="0" w:line="240" w:lineRule="auto"/>
        <w:rPr/>
      </w:pPr>
      <w:r>
        <w:rPr>
          <w:b/>
          <w:bCs/>
        </w:rPr>
        <w:t xml:space="preserve">Original Paradise</w:t>
      </w:r>
      <w:r>
        <w:rPr/>
        <w:t xml:space="preserve"> (Creation of Adam and Eve to their Fall and banishment from Eden)</w:t>
      </w:r>
    </w:p>
    <w:p>
      <w:pPr>
        <w:numPr>
          <w:ilvl w:val="0"/>
          <w:numId w:val="78695189"/>
        </w:numPr>
        <w:spacing w:before="0" w:after="0" w:line="240" w:lineRule="auto"/>
        <w:rPr/>
      </w:pPr>
      <w:r>
        <w:rPr>
          <w:b/>
          <w:bCs/>
        </w:rPr>
        <w:t xml:space="preserve">Conscience</w:t>
      </w:r>
      <w:r>
        <w:rPr/>
        <w:t xml:space="preserve"> (Fall to the Flood)</w:t>
      </w:r>
    </w:p>
    <w:p>
      <w:pPr>
        <w:numPr>
          <w:ilvl w:val="0"/>
          <w:numId w:val="78695189"/>
        </w:numPr>
        <w:spacing w:before="0" w:after="0" w:line="240" w:lineRule="auto"/>
        <w:rPr/>
      </w:pPr>
      <w:r>
        <w:rPr>
          <w:b/>
          <w:bCs/>
        </w:rPr>
        <w:t xml:space="preserve">Civil Government</w:t>
      </w:r>
      <w:r>
        <w:rPr/>
        <w:t xml:space="preserve"> (Flood to the Mosaic Law)</w:t>
      </w:r>
    </w:p>
    <w:p>
      <w:pPr>
        <w:numPr>
          <w:ilvl w:val="0"/>
          <w:numId w:val="78695189"/>
        </w:numPr>
        <w:spacing w:before="0" w:after="0" w:line="240" w:lineRule="auto"/>
        <w:rPr/>
      </w:pPr>
      <w:r>
        <w:rPr>
          <w:b/>
          <w:bCs/>
        </w:rPr>
        <w:t xml:space="preserve">The Mosaic Law</w:t>
      </w:r>
      <w:r>
        <w:rPr/>
        <w:t xml:space="preserve"> (the giving of the Law until Pentecost)</w:t>
      </w:r>
    </w:p>
    <w:p>
      <w:pPr>
        <w:numPr>
          <w:ilvl w:val="0"/>
          <w:numId w:val="78695189"/>
        </w:numPr>
        <w:spacing w:before="0" w:after="0" w:line="240" w:lineRule="auto"/>
        <w:rPr/>
      </w:pPr>
      <w:r>
        <w:rPr>
          <w:b/>
          <w:bCs/>
        </w:rPr>
        <w:t xml:space="preserve">The Administration of the Grace of God</w:t>
      </w:r>
      <w:r>
        <w:rPr/>
        <w:t xml:space="preserve"> (from Pentecost until the Rapture)</w:t>
      </w:r>
    </w:p>
    <w:p>
      <w:pPr>
        <w:numPr>
          <w:ilvl w:val="0"/>
          <w:numId w:val="78695189"/>
        </w:numPr>
        <w:spacing w:before="0" w:after="0" w:line="240" w:lineRule="auto"/>
        <w:rPr/>
      </w:pPr>
      <w:r>
        <w:rPr>
          <w:b/>
          <w:bCs/>
        </w:rPr>
        <w:t xml:space="preserve">Tribulation</w:t>
      </w:r>
      <w:r>
        <w:rPr/>
        <w:t xml:space="preserve"> (from the Rapture to the end of Armageddon)</w:t>
      </w:r>
    </w:p>
    <w:p>
      <w:pPr>
        <w:numPr>
          <w:ilvl w:val="0"/>
          <w:numId w:val="78695189"/>
        </w:numPr>
        <w:spacing w:before="0" w:after="0" w:line="240" w:lineRule="auto"/>
        <w:rPr/>
      </w:pPr>
      <w:r>
        <w:rPr>
          <w:b/>
          <w:bCs/>
        </w:rPr>
        <w:t xml:space="preserve">Millennial Kingdom</w:t>
      </w:r>
      <w:r>
        <w:rPr/>
        <w:t xml:space="preserve"> (lasts 1,000 years)</w:t>
      </w:r>
    </w:p>
    <w:p>
      <w:pPr>
        <w:numPr>
          <w:ilvl w:val="0"/>
          <w:numId w:val="78695189"/>
        </w:numPr>
        <w:spacing w:before="0" w:after="0" w:line="240" w:lineRule="auto"/>
        <w:rPr/>
      </w:pPr>
      <w:r>
        <w:rPr>
          <w:b/>
          <w:bCs/>
        </w:rPr>
        <w:t xml:space="preserve">Everlasting Kingdom</w:t>
      </w:r>
      <w:r>
        <w:rPr/>
        <w:t xml:space="preserve"> (Final Paradise—will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original).</w:t>
      </w:r>
      <w:r>
        <w:rPr>
          <w:rStyle w:val="FootnoteReference"/>
        </w:rPr>
        <w:footnoteReference w:id="28974"/>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FootnoteReference"/>
        </w:rPr>
        <w:footnoteReference w:id="32263"/>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FootnoteReference"/>
        </w:rPr>
        <w:footnoteReference w:id="29914"/>
      </w:r>
      <w:r>
        <w:rPr/>
        <w:t xml:space="preserve"> Zodhiates says, “the word denotes the ability to understand concepts and see relationships between them.”</w:t>
      </w:r>
      <w:r>
        <w:rPr>
          <w:rStyle w:val="FootnoteReference"/>
        </w:rPr>
        <w:footnoteReference w:id="23594"/>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“partners”).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when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prepositional phrase, “in Christ” refers to locale (“in Christ”),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FootnoteReference"/>
        </w:rPr>
        <w:footnoteReference w:id="21873"/>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FootnoteReference"/>
        </w:rPr>
        <w:footnoteReference w:id="18426"/>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FootnoteReference"/>
        </w:rPr>
        <w:footnoteReference w:id="24353"/>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phōtizō</w:t>
      </w:r>
      <w:r>
        <w:rPr/>
        <w:t xml:space="preserve">, but it seems the manuscript evidence favors it being in the original text, which is why most English versions include it. </w:t>
      </w:r>
      <w:r>
        <w:rPr>
          <w:i/>
          <w:iCs/>
        </w:rPr>
        <w:t xml:space="preserve">Phōtizō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phōtizō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simpler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FootnoteReference"/>
        </w:rPr>
        <w:footnoteReference w:id="29926"/>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6947"/>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6947"/>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6947"/>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6947"/>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6947"/>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6947"/>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6947"/>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6947"/>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6947"/>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6947"/>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6947"/>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FootnoteReference"/>
        </w:rPr>
        <w:footnoteReference w:id="13759"/>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FootnoteReference"/>
        </w:rPr>
        <w:footnoteReference w:id="27489"/>
      </w:r>
      <w:r>
        <w:rPr/>
        <w:t xml:space="preserve"> “This is the only occurrence in the NT, and it has the idea of ‘most varied,’ or ‘(very) many sided.’ It alludes to the variegated facets of God’s wisdom…”</w:t>
      </w:r>
      <w:r>
        <w:rPr>
          <w:rStyle w:val="FootnoteReference"/>
        </w:rPr>
        <w:footnoteReference w:id="17004"/>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FootnoteReference"/>
        </w:rPr>
        <w:footnoteReference w:id="16962"/>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even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for your sake.” Although Colossians is developed differently, the idea of Paul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FootnoteReference"/>
        </w:rPr>
        <w:footnoteReference w:id="11712"/>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the ability and authority to name something implied power and dominion over that thing—for example, Lincoln points out that God naming all the stars showed Him as their creator and Lord.</w:t>
      </w:r>
      <w:r>
        <w:rPr>
          <w:rStyle w:val="FootnoteReference"/>
        </w:rPr>
        <w:footnoteReference w:id="24257"/>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FootnoteReference"/>
        </w:rPr>
        <w:footnoteReference w:id="31152"/>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FootnoteReference"/>
        </w:rPr>
        <w:footnoteReference w:id="14722"/>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FootnoteReference"/>
        </w:rPr>
        <w:footnoteReference w:id="10506"/>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FootnoteReference"/>
        </w:rPr>
        <w:footnoteReference w:id="14245"/>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over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which comes from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FootnoteReference"/>
        </w:rPr>
        <w:footnoteReference w:id="16303"/>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original).</w:t>
      </w:r>
      <w:r>
        <w:rPr>
          <w:rStyle w:val="FootnoteReference"/>
        </w:rPr>
        <w:footnoteReference w:id="11237"/>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who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FootnoteReference"/>
        </w:rPr>
        <w:footnoteReference w:id="17343"/>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“by </w:t>
      </w:r>
      <w:r>
        <w:rPr>
          <w:b/>
          <w:bCs/>
          <w:i/>
          <w:iCs/>
        </w:rPr>
        <w:t xml:space="preserve">keeping</w:t>
      </w:r>
      <w:r>
        <w:rPr>
          <w:b/>
          <w:bCs/>
        </w:rPr>
        <w:t xml:space="preserve">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rStyle w:val="FootnoteReference"/>
        </w:rPr>
        <w:footnoteReference w:id="14734"/>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FootnoteReference"/>
        </w:rPr>
        <w:footnoteReference w:id="13799"/>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for us there is one God, the Father, from whom are all things, and we are for him; and one Lord, Jesus Christ, through whom are all things and we are through him” (1 Cor. 8:5-6).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hoping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FootnoteReference"/>
        </w:rPr>
        <w:footnoteReference w:id="10013"/>
      </w:r>
      <w:r>
        <w:rPr/>
        <w:t xml:space="preserve"> some taking it to be the “Christian Faith,” a body of beliefs,</w:t>
      </w:r>
      <w:r>
        <w:rPr>
          <w:rStyle w:val="FootnoteReference"/>
        </w:rPr>
        <w:footnoteReference w:id="30435"/>
      </w:r>
      <w:r>
        <w:rPr/>
        <w:t xml:space="preserve"> and some thinking both likely apply.</w:t>
      </w:r>
      <w:r>
        <w:rPr>
          <w:rStyle w:val="FootnoteReference"/>
        </w:rPr>
        <w:footnoteReference w:id="27869"/>
      </w:r>
      <w:r>
        <w:rPr/>
        <w:t xml:space="preserve"> If both meanings do apply, the subjective meaning—a person’s faith in Christ—certainly is part of what the verse is saying. 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4:8</w:t>
      </w:r>
    </w:p>
    <w:p>
      <w:pPr>
        <w:pStyle w:val="rNormal"/>
        <w:widowControl w:val="on"/>
        <w:spacing w:before="240" w:after="240" w:line="240" w:lineRule="auto"/>
        <w:ind w:left="0" w:right="0" w:firstLine="1"/>
        <w:jc w:val="left"/>
      </w:pPr>
      <w:r>
        <w:rPr>
          <w:b/>
          <w:bCs/>
        </w:rPr>
        <w:t xml:space="preserve">“he took captives.”</w:t>
      </w:r>
      <w:r>
        <w:rPr/>
        <w:t xml:space="preserve"> By using this phrase, Paul likely is referring to how Jesus was victorious over the spiritual forces of evil (Col. 2:15), and “took them captive” when he ascended to the right hand of God, in victory over death.</w:t>
      </w:r>
    </w:p>
    <w:p>
      <w:pPr>
        <w:pStyle w:val="rNormal"/>
        <w:widowControl w:val="on"/>
        <w:spacing w:before="240" w:after="240" w:line="240" w:lineRule="auto"/>
        <w:ind w:left="0" w:right="0"/>
        <w:jc w:val="left"/>
      </w:pPr>
      <w:r>
        <w:rPr/>
        <w:t xml:space="preserve">This phrase is notoriously difficult to translate because it is a polyptoton, which would be more literally translated, “he took the captives captive.” The difficulty lies in that when this phrase is used in the Old Testament, it never refers to ‘taking captives captive’ but rather to ‘taking </w:t>
      </w:r>
      <w:r>
        <w:rPr>
          <w:i/>
          <w:iCs/>
        </w:rPr>
        <w:t xml:space="preserve">someone</w:t>
      </w:r>
      <w:r>
        <w:rPr/>
        <w:t xml:space="preserve"> captive.’ For instance, in Deuteronomy 21:10, the phrase refers to people who lost a battle who are taken captive, but they were not captives prior to being taken captive. Similarly, in Judges 5:12, the context is referring to Israel defeating their enemies in war and then “taking them captive,” but again, like in Deuteronomy, the people being taken captive were not already captives; they were simply Canaanites (Judg. 4:2-3). The phrase also occurs in Numbers 21:1 and likewise refers to “taking captives,” not to taking people who were enslaved and making them enslaved to you. So, in all of the Old Testament uses, it simply refers to taking people captive.</w:t>
      </w:r>
    </w:p>
    <w:p>
      <w:pPr>
        <w:pStyle w:val="rNormal"/>
        <w:widowControl w:val="on"/>
        <w:spacing w:before="240" w:after="240" w:line="240" w:lineRule="auto"/>
        <w:ind w:left="0" w:right="0"/>
        <w:jc w:val="left"/>
      </w:pPr>
      <w:r>
        <w:rPr/>
        <w:t xml:space="preserve">One other meaning should be addressed. Some translations, such as the KJV, NKJV, Amplified Bible, ERV, and the World English Bible, translate the phrase “led captivity captive.” Not only is this phrase quite confusing at first glance, but this translation does not follow the consistent Old Testament meaning. Thus, it is not to be preferred. Also, what would it correlate to theologically? Where in the New Testament does Jesus “capture” captivity? There is really nothing in the New Testament that one can point to, except perhaps that Christ defeated the power of sin, which held people captive; however, he did not then make “Sin” submissive to him. Thus, the correlation to any New Testament reality is quite weak with the translation “led captivity captive,” and so, for these reasons, it is not to be preferred.</w:t>
      </w:r>
    </w:p>
    <w:p>
      <w:pPr>
        <w:pStyle w:val="rNormal"/>
        <w:widowControl w:val="on"/>
        <w:spacing w:before="240" w:after="240" w:line="240" w:lineRule="auto"/>
        <w:ind w:left="0" w:right="0"/>
        <w:jc w:val="left"/>
      </w:pPr>
      <w:r>
        <w:rPr/>
        <w:t xml:space="preserve">The question must be asked, who was taken captive when Jesus “ascended on high?” Given the earlier allusions to Christ’s “exaltation over the powers”</w:t>
      </w:r>
      <w:r>
        <w:rPr>
          <w:rStyle w:val="FootnoteReference"/>
        </w:rPr>
        <w:footnoteReference w:id="25328"/>
      </w:r>
      <w:r>
        <w:rPr/>
        <w:t xml:space="preserve"> in Ephesians 1:21-22, and the close parallels with Colossians 2:15, the phrase “took captives” likely refers to Jesus taking spiritual forces of evil captive.</w:t>
      </w:r>
      <w:r>
        <w:rPr>
          <w:rStyle w:val="FootnoteReference"/>
        </w:rPr>
        <w:footnoteReference w:id="30886"/>
      </w:r>
      <w:r>
        <w:rPr/>
        <w:t xml:space="preserve"> In Ephesians 1:21-22, Paul says that Christ was seated in the heavenly places, “far above every ruler and authority and power and dominion...and he put all things in subjection under his feet.” The “rulers,” “authorities,” and “powers” are in reference to spiritual forces, and Paul relates that these spiritual forces have been subjected to Christ. This very much echoes the idea intended throughout the Old Testament for the phrase “taking captives,” in which an Old Testament king would defeat his enemies and take them captive, thus, they would be submissive to the king. In the context of Ephesians, Jesus has defeated his spiritual enemies, and God has submitted those enemies beneath Christ the King.</w:t>
      </w:r>
    </w:p>
    <w:p>
      <w:pPr>
        <w:pStyle w:val="rNormal"/>
        <w:widowControl w:val="on"/>
        <w:spacing w:before="240" w:after="240" w:line="240" w:lineRule="auto"/>
        <w:ind w:left="0" w:right="0"/>
        <w:jc w:val="left"/>
      </w:pPr>
      <w:r>
        <w:rPr/>
        <w:t xml:space="preserve">Colossians 2:15 also provides great insight into the phrase “took captives” here in Ephesians 4:8. In Colossians 2:15 it reads, “He stripped the rulers and the authorities, </w:t>
      </w:r>
      <w:r>
        <w:rPr>
          <w:i/>
          <w:iCs/>
        </w:rPr>
        <w:t xml:space="preserve">and</w:t>
      </w:r>
      <w:r>
        <w:rPr/>
        <w:t xml:space="preserve"> He made a public spectacle of them, leading them </w:t>
      </w:r>
      <w:r>
        <w:rPr>
          <w:i/>
          <w:iCs/>
        </w:rPr>
        <w:t xml:space="preserve">as captives</w:t>
      </w:r>
      <w:r>
        <w:rPr/>
        <w:t xml:space="preserve"> in a triumphal procession in </w:t>
      </w:r>
      <w:r>
        <w:rPr>
          <w:i/>
          <w:iCs/>
        </w:rPr>
        <w:t xml:space="preserve">connection with</w:t>
      </w:r>
      <w:r>
        <w:rPr/>
        <w:t xml:space="preserve"> him.” Here, Paul makes clear that at Jesus’ exaltation to the right hand of God, Jesus was victorious over the spiritual forces of evil, and they became as “captives” to him. Therefore, it is very likely that this is the connection Paul was intending to make here in Ephesians 4:8, namely, that Christ has taken the spiritual forces of evil captive.</w:t>
      </w:r>
    </w:p>
    <w:p>
      <w:pPr>
        <w:pStyle w:val="rNormal"/>
        <w:widowControl w:val="on"/>
        <w:spacing w:before="240" w:after="240" w:line="240" w:lineRule="auto"/>
        <w:ind w:left="0" w:right="0"/>
        <w:jc w:val="left"/>
      </w:pPr>
      <w:r>
        <w:rPr/>
        <w:t xml:space="preserve">[For more information on why “rulers,” “authorities,” and “powers” are referring to spiritual forces, see commentary on Eph. 6:12.]</w:t>
      </w:r>
    </w:p>
    <w:p>
      <w:pPr>
        <w:pStyle w:val="rNormal"/>
        <w:widowControl w:val="on"/>
        <w:spacing w:before="240" w:after="240" w:line="240" w:lineRule="auto"/>
        <w:ind w:left="0" w:right="0"/>
        <w:jc w:val="left"/>
      </w:pPr>
      <w:r>
        <w:rPr/>
        <w:t xml:space="preserve">“</w:t>
      </w:r>
      <w:r>
        <w:rPr>
          <w:b/>
          <w:bCs/>
        </w:rPr>
        <w:t xml:space="preserve">gave gifts to people</w:t>
      </w:r>
      <w:r>
        <w:rPr/>
        <w:t xml:space="preserve">.” Paul purposely modified the Old Testament verse he is quoting in order to fit his rhetorical goal of applying it to Jesus Christ. In the Old Testament context, in Psalm 68:18, the Hebrew text says that “you have received tribute (gifts) from men,” but in the New Testament context, Paul is wanting to elaborate on how Jesus Christ gives spiritual gifts to the Church. So, what does Paul do? He modifies the Old Testament text to fit his rhetorical purposes. He modifies it to say, “he gave gifts to people.” This does not mean Paul does not respect the Old Testament or its grammatical-historical context, but rather Paul is teaching about a New Covenant reality and simply using a text people would have been familiar with (Psa. 68:18) to support this teaching.</w:t>
      </w:r>
    </w:p>
    <w:p>
      <w:pPr>
        <w:pStyle w:val="rNormal"/>
        <w:widowControl w:val="on"/>
        <w:spacing w:before="240" w:after="240" w:line="240" w:lineRule="auto"/>
        <w:ind w:left="0" w:right="0"/>
        <w:jc w:val="left"/>
      </w:pPr>
      <w:r>
        <w:rPr/>
        <w:t xml:space="preserve">The New Testament authors do this sort of reapplication of an Old Testament text quite frequently. For example, in Matthew 2:15, it reads, “Out of Egypt I called my son,” which is a quote of Hosea 11:1. However, the Old Testament context is about how God called Israel (his son) out of Egypt—out of slavery. Yet, Matthew, being familiar with the Old Testament, sees a correlation, because in the New Testament context, Jesus (God’s son) left Egypt to come back to Galilee, so, in a sense, the words “Out of Egypt I called my son,” fit Jesus’ circumstances nicely.</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traditional Christian theology. Some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theologians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“the lower parts of the earth,” i.e., “hell” or Tartarus, between his death and resurrection comes from the traditional teaching that dead people are alive in a “spirit” form, which is not correct. Placing the timing of Jesus’ descent into Tartarus between his death and resurrection can be seen in the Apostles’ Creed, which inserts the phrase “he descended into hell” between Christ’s death and resurrection. It reads, “(Jesus) was crucified, died and was buried; he descended into hell; on the third day he rose again from the dead.” That wording implies that Jesus went to Tartarus to preach while his body was dead, because “descended” takes place after “died.” So the Apostle’s Creed insinuates that Jesus’ descending into the earth was not Jesus’ death and burial, but occurred after his body died. If one believes the traditional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i.e., the grave),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Eph. 1:23; Col 1:16-20; 1 Cor 3:21ff; 8:6) unless an alternative sense is signified (Hodge).”</w:t>
      </w:r>
      <w:r>
        <w:rPr>
          <w:rStyle w:val="FootnoteReference"/>
        </w:rPr>
        <w:footnoteReference w:id="24886"/>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FootnoteReference"/>
        </w:rPr>
        <w:footnoteReference w:id="13093"/>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FootnoteReference"/>
        </w:rPr>
        <w:footnoteReference w:id="10880"/>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for a teaching to be fully effective, it often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FootnoteReference"/>
        </w:rPr>
        <w:footnoteReference w:id="23230"/>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translates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FootnoteReference"/>
        </w:rPr>
        <w:footnoteReference w:id="26292"/>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not in order to point to some masculine characteristic that Paul is expecting believers to adopt and imitate, but rather the emphasis is on arriving at mature adulthood, not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marturomai (#3143 μαρτύρομαι), almost always means “to testify, bear witness,” however, here it has the meaning of “urging or insisting upon something.”</w:t>
      </w:r>
      <w:r>
        <w:rPr>
          <w:rStyle w:val="FootnoteReference"/>
        </w:rPr>
        <w:footnoteReference w:id="17576"/>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FootnoteReference"/>
        </w:rPr>
        <w:footnoteReference w:id="29931"/>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FootnoteReference"/>
        </w:rPr>
        <w:footnoteReference w:id="10274"/>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FootnoteReference"/>
        </w:rPr>
        <w:footnoteReference w:id="26174"/>
      </w:r>
      <w:r>
        <w:rPr/>
        <w:t xml:space="preserve"> </w:t>
      </w:r>
      <w:r>
        <w:rPr>
          <w:i/>
          <w:iCs/>
        </w:rPr>
        <w:t xml:space="preserve">Ergasia</w:t>
      </w:r>
      <w:r>
        <w:rPr/>
        <w:t xml:space="preserve"> is often translated as “practice” (CSB, ESV, NAB, NET)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31292"/>
      </w:r>
      <w:r>
        <w:rPr/>
        <w:t xml:space="preserve"> “in a moral sense, the impurity of lustful, luxurious, profligate living; used of impure motives in 1 Thess. 2:3.”</w:t>
      </w:r>
      <w:r>
        <w:rPr>
          <w:rStyle w:val="FootnoteReference"/>
        </w:rPr>
        <w:footnoteReference w:id="22229"/>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Word Study: “Pneuma.”]</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in many modern versions, points to the total transformation of a person when they get born again. At that time the person gets a new divine nature through an act of creation (2 Pet. 1:4) and they literally become a totally new person, a “new self.” The “new self” here in Ephesians 4:24 is not the same as the “new self”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commentary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BDAG says that </w:t>
      </w:r>
      <w:r>
        <w:rPr>
          <w:i/>
          <w:iCs/>
        </w:rPr>
        <w:t xml:space="preserve">kata</w:t>
      </w:r>
      <w:r>
        <w:rPr/>
        <w:t xml:space="preserve"> is used “as a periphrasis to express equality, similarity, or example,”</w:t>
      </w:r>
      <w:r>
        <w:rPr>
          <w:rStyle w:val="FootnoteReference"/>
        </w:rPr>
        <w:footnoteReference w:id="16065"/>
      </w:r>
      <w:r>
        <w:rPr/>
        <w:t xml:space="preserve"> and Thayer’s has “after the image of God.”</w:t>
      </w:r>
      <w:r>
        <w:rPr>
          <w:rStyle w:val="FootnoteReference"/>
        </w:rPr>
        <w:footnoteReference w:id="24708"/>
      </w:r>
      <w:r>
        <w:rPr/>
        <w:t xml:space="preserve"> Many commentators agree and expound on the idea of the “new self” being created in the likeness or image of God.</w:t>
      </w:r>
      <w:r>
        <w:rPr>
          <w:rStyle w:val="FootnoteReference"/>
        </w:rPr>
        <w:footnoteReference w:id="24128"/>
      </w:r>
      <w:r>
        <w:rPr/>
        <w:t xml:space="preserve"> Many versions agree, for example, the HCSB has “created according to God’s likeness”; the ESV has “created after the likeness of God”;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(Gal. 5:17).</w:t>
      </w:r>
    </w:p>
    <w:p>
      <w:pPr>
        <w:pStyle w:val="rNormal"/>
        <w:widowControl w:val="on"/>
        <w:spacing w:before="240" w:after="240" w:line="240" w:lineRule="auto"/>
        <w:ind w:left="0" w:right="0"/>
        <w:jc w:val="left"/>
      </w:pPr>
      <w:r>
        <w:rPr/>
        <w:t xml:space="preserve">[For more information on the New Birth, see commentary on 1 Pet. 1:3, “new birth.”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FootnoteReference"/>
        </w:rPr>
        <w:footnoteReference w:id="28120"/>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FootnoteReference"/>
        </w:rPr>
        <w:footnoteReference w:id="10643"/>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translation, “true righteousness and holiness,” is based upon the understanding that when a person gets “born again,” God literally creates in them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(i.e., new person) that has been created in the likeness of God. Thus, Christians are“holy,” not because of what they do, but because of who they are as God’s children with God’s holy nature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“Be angry” is </w:t>
      </w:r>
      <w:r>
        <w:rPr>
          <w:i/>
          <w:iCs/>
        </w:rPr>
        <w:t xml:space="preserve">orgizō</w:t>
      </w:r>
      <w:r>
        <w:rPr/>
        <w:t xml:space="preserve"> (#3710 ὀργίζω), while “angry mood” is </w:t>
      </w:r>
      <w:r>
        <w:rPr>
          <w:i/>
          <w:iCs/>
        </w:rPr>
        <w:t xml:space="preserve">parorgismos</w:t>
      </w:r>
      <w:r>
        <w:rPr/>
        <w:t xml:space="preserve"> (#3950 παροργισμός). BDAG says that </w:t>
      </w:r>
      <w:r>
        <w:rPr>
          <w:i/>
          <w:iCs/>
        </w:rPr>
        <w:t xml:space="preserve">parorgismos</w:t>
      </w:r>
      <w:r>
        <w:rPr/>
        <w:t xml:space="preserve"> is the “state of being intensely provoked,”</w:t>
      </w:r>
      <w:r>
        <w:rPr>
          <w:rStyle w:val="FootnoteReference"/>
        </w:rPr>
        <w:footnoteReference w:id="13156"/>
      </w:r>
      <w:r>
        <w:rPr/>
        <w:t xml:space="preserve"> and William Hendriksen translates it “angry mood.”</w:t>
      </w:r>
      <w:r>
        <w:rPr>
          <w:rStyle w:val="FootnoteReference"/>
        </w:rPr>
        <w:footnoteReference w:id="29061"/>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FootnoteReference"/>
        </w:rPr>
        <w:footnoteReference w:id="20392"/>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FootnoteReference"/>
        </w:rPr>
        <w:footnoteReference w:id="24659"/>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FootnoteReference"/>
        </w:rPr>
        <w:footnoteReference w:id="27232"/>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 main question that needs answering is whether the Greek phrase </w:t>
      </w:r>
      <w:r>
        <w:rPr>
          <w:i/>
          <w:iCs/>
        </w:rPr>
        <w:t xml:space="preserve">to pneuma to hagion</w:t>
      </w:r>
      <w:r>
        <w:rPr/>
        <w:t xml:space="preserve"> (“the holy spirit”) refers to the “Holy Spirit” (another name for God), or to the “holy spirit”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FootnoteReference"/>
        </w:rPr>
        <w:footnoteReference w:id="32718"/>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FootnoteReference"/>
        </w:rPr>
        <w:footnoteReference w:id="31081"/>
      </w:r>
      <w:r>
        <w:rPr/>
        <w:t xml:space="preserve"> So, to assert that </w:t>
      </w:r>
      <w:r>
        <w:rPr>
          <w:i/>
          <w:iCs/>
        </w:rPr>
        <w:t xml:space="preserve">pneuma hagion</w:t>
      </w:r>
      <w:r>
        <w:rPr/>
        <w:t xml:space="preserve"> in Ephesians 4:30 refers to God is to create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marked with a seal, which is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which is the seal with which you were marked,”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about the gift of holy spirit changing after Pentecost, see commentary on John 7:39. For more information on the uses of “holy spirit,” see Word Study: “Pneuma.”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“the seal with which you were marked.”</w:t>
      </w:r>
      <w:r>
        <w:rPr/>
        <w:t xml:space="preserve"> Once a person takes Jesus as Lord and gets born again, they are sealed with the holy spirit all the way until the Day of Redemption, which is the day they are fully redeemed from this life and are with Christ.</w:t>
      </w:r>
    </w:p>
    <w:p>
      <w:pPr>
        <w:pStyle w:val="rNormal"/>
        <w:widowControl w:val="on"/>
        <w:spacing w:before="240" w:after="240" w:line="240" w:lineRule="auto"/>
        <w:ind w:left="0" w:right="0"/>
        <w:jc w:val="left"/>
      </w:pPr>
      <w:r>
        <w:rPr/>
        <w:t xml:space="preserve">The word “until” in the phrase “until the day of redemption”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marked with the seal of God’s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 heart disease risk by 19 percent. Another study found that anger damages blood vessels.”</w:t>
      </w:r>
      <w:r>
        <w:rPr>
          <w:rStyle w:val="FootnoteReference"/>
        </w:rPr>
        <w:footnoteReference w:id="31777"/>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FootnoteReference"/>
        </w:rPr>
        <w:footnoteReference w:id="22478"/>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jc w:val="left"/>
      </w:pPr>
      <w:r>
        <w:rPr/>
        <w:t xml:space="preserve">The phrase modifies “you,” not “God.” Lenski correctly states: “The phrase does not modify ‘God.’”</w:t>
      </w:r>
      <w:r>
        <w:rPr>
          <w:rStyle w:val="FootnoteReference"/>
        </w:rPr>
        <w:footnoteReference w:id="31501"/>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FootnoteReference"/>
        </w:rPr>
        <w:footnoteReference w:id="27519"/>
      </w:r>
      <w:r>
        <w:rPr/>
        <w:t xml:space="preserve"> “Love is best gauged by sacrifice.”</w:t>
      </w:r>
      <w:r>
        <w:rPr>
          <w:rStyle w:val="FootnoteReference"/>
        </w:rPr>
        <w:footnoteReference w:id="32147"/>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FootnoteReference"/>
        </w:rPr>
        <w:footnoteReference w:id="27594"/>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FootnoteReference"/>
        </w:rPr>
        <w:footnoteReference w:id="28376"/>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FootnoteReference"/>
        </w:rPr>
        <w:footnoteReference w:id="27322"/>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sincere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“no person who is sexually immoral, impure, or greedy (who is an idolater).”</w:t>
      </w:r>
      <w:r>
        <w:rPr/>
        <w:t xml:space="preserve"> Ephesians 5:5 is about people who abandon their belief in Christ and return to a lifestyle of immorality and ungodliness, and thus will not have an inheritance in the kingdom of Christ and God. In writing to the Ephesians, Paul is writing to people who used to live ungodly lives without Christ (“at one time you were darkness”), but now they are light (Eph. 5:8). Here in Ephesians 5, Paul warns the believers not to be sucked back in to that ungodly lifestyle. He writes “do not let anyone deceive you...do not participate with them...do not participate in the unfruitful works of darkness” (Eph. 5:6, 7, 11). Paul warns the believers, saying that no person who is involved in that godless lifestyle “has an inheritance in the kingdom of Christ and God.” The meaning of not having an inheritance in the kingdom of Christ and God (Eph. 5:5) is equivalent to not inheriting the kingdom (1 Cor. 6:9 and Gal. 5:21; see commentary on Gal. 5:21), and means the person who abandons and rejects Christ and returns to their former lifestyle forfeits their salvation.</w:t>
      </w:r>
    </w:p>
    <w:p>
      <w:pPr>
        <w:pStyle w:val="rNormal"/>
        <w:widowControl w:val="on"/>
        <w:spacing w:before="240" w:after="240" w:line="240" w:lineRule="auto"/>
        <w:ind w:left="0" w:right="0"/>
        <w:jc w:val="left"/>
      </w:pPr>
      <w:r>
        <w:rPr/>
        <w:t xml:space="preserve">We must be careful to understand the relationship between sin, the ungodly lifestyle, and abandoning Christ to the extent that one forfeits their everlasting life. Everyone sins, and some people sin egregiously, but sin does not cause a person to forfeit their salvation. However, if a person ignores the commands of God and defies Him and lives an ungodly lifestyle, they are in danger of having their heart so hardened by sin that they go so far as to renounce their trust and belief in Christ, and at that point, they forfeit their everlasting life. A person gets born again by trusting Christ (Rom. 10:9), and they maintain their salvation by trusting in Christ (1 Pet. 1:5).</w:t>
      </w:r>
    </w:p>
    <w:p>
      <w:pPr>
        <w:pStyle w:val="rNormal"/>
        <w:widowControl w:val="on"/>
        <w:spacing w:before="240" w:after="240" w:line="240" w:lineRule="auto"/>
        <w:ind w:left="0" w:right="0"/>
        <w:jc w:val="left"/>
      </w:pPr>
      <w:r>
        <w:rPr/>
        <w:t xml:space="preserve">“</w:t>
      </w:r>
      <w:r>
        <w:rPr>
          <w:b/>
          <w:bCs/>
        </w:rPr>
        <w:t xml:space="preserve">greedy (who is an idolater).”</w:t>
      </w:r>
      <w:r>
        <w:rPr/>
        <w:t xml:space="preserve"> The phrase “who is an idolater” refers back to “greedy” both here and in Colossians 3:5. People who are greedy in their thoughts and actions in fact make an idol of what they are greedy for. Harold Hoehner writes, “the relative pronoun refers the reader back to the greedy person, and not to all three of the preceding persons; the singular points to this. This is substantiated in Colossians 3:5, where the relative pronoun (ἥτις) refers only to greed, and not to the preceding vices. To covet is idolatry.”</w:t>
      </w:r>
      <w:r>
        <w:rPr>
          <w:rStyle w:val="FootnoteReference"/>
        </w:rPr>
        <w:footnoteReference w:id="24825"/>
      </w:r>
      <w:r>
        <w:rPr/>
        <w:t xml:space="preserve"> C. Leslie Mitton adds to that and writes, “Covetousness, whether just greed for money and possessions, or, more widely, as ruthless greed to get whatever one wants without regard for other people’s rights or feelings, can come to dominate a man’s life to the exclusion of all other considerations. It becomes his god, as we say.”</w:t>
      </w:r>
      <w:r>
        <w:rPr>
          <w:rStyle w:val="FootnoteReference"/>
        </w:rPr>
        <w:footnoteReference w:id="29438"/>
      </w:r>
    </w:p>
    <w:p>
      <w:pPr>
        <w:pStyle w:val="rNormal"/>
        <w:widowControl w:val="on"/>
        <w:spacing w:before="240" w:after="240" w:line="240" w:lineRule="auto"/>
        <w:ind w:left="0" w:right="0"/>
        <w:jc w:val="left"/>
      </w:pPr>
      <w:r>
        <w:rPr/>
        <w:t xml:space="preserve">We can see that Ephesians 5:5 is speaking of the same things as Galatians 5:19-21 and 1 Corinthians 6:9-10 by simply reading the list of sins in those verses and comparing them—although the list in Ephesians 5:5 is much shorter than at the lists in Galatians and Corinthians (a reason for that might be that Ephesians was written significantly later than Galatians and Corinthians, and therefore the longer, more explicit list might not have been necessary). There is danger in living in sin, and the Bible warns about it. There is the loss of rewards for people whose works are burned up on the Day of Judgment (1 Cor. 3:11-15), but there is the greater loss for people who get so sucked into a sinful lifestyle that they renounce Christ. They can end up forfeiting their salvation and their final end will be worse than if they had never heard and given their life to Christ to begin with (2 Pet. 2:20). It is continued trust in Christ that guards Christian salvation (1 Pet. 1:3-5; and see commentary on 1 Peter 1:5).</w:t>
      </w:r>
    </w:p>
    <w:p>
      <w:pPr>
        <w:pStyle w:val="rNormal"/>
        <w:widowControl w:val="on"/>
        <w:spacing w:before="240" w:after="240" w:line="240" w:lineRule="auto"/>
        <w:ind w:left="0" w:right="0" w:firstLine="1"/>
        <w:jc w:val="left"/>
      </w:pPr>
      <w:r>
        <w:rPr>
          <w:b/>
          <w:bCs/>
        </w:rPr>
        <w:t xml:space="preserve">“no person who is sexually immoral...has an inheritance in the kingdom.”</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Ephesians 5:5 uses the phrase, “has an inheritance in the kingdom of Christ and God.” From many other verses in the New Testament we can see that having an inheritance in the Kingdom (or “inheriting the Kingdom”) refers to being saved and being in the Kingdom by virtue of having everlasting life (see commentary on Gal. 5:21). Other verses that refer to “an inheritance” include Acts 20:32; 26:18, and 1 Peter 1:4.</w:t>
      </w:r>
    </w:p>
    <w:p>
      <w:pPr>
        <w:pStyle w:val="rNormal"/>
        <w:widowControl w:val="on"/>
        <w:spacing w:before="240" w:after="240" w:line="240" w:lineRule="auto"/>
        <w:ind w:left="0" w:right="0"/>
        <w:jc w:val="left"/>
      </w:pPr>
      <w:r>
        <w:rPr/>
        <w:t xml:space="preserve">Here in Ephesians, Paul sternly warns believers not to abandon Christ and return to living like the unbelievers do. Everyone sins, but that is not what Ephesians 5 is speaking about. It is important to understand this because many people are frightened that they will not be saved because of some sin or sins in their life. But Ephesians 5:5; 1 Corinthians 6:9-10, and Galatians 5:19-21 are speaking about people who ignore the fact that they confessed Christ as their Lord and have forsaken him and returned to the pleasures of the flesh. Peter T. O’Brien describes such people: “Those who have given themselves over to immorality, impurity, and greed, even if they call themselves Christian, show that they are excluded from eternal life. The apostle is not asserting that the believer who ever falls into these sins is automatically excluded from God's kingdom. Rather, what is envisaged here is the person who has given himself or herself up without shame or repentance to this way of life.”</w:t>
      </w:r>
      <w:r>
        <w:rPr>
          <w:rStyle w:val="FootnoteReference"/>
        </w:rPr>
        <w:footnoteReference w:id="21244"/>
      </w:r>
      <w:r>
        <w:rPr/>
        <w:t xml:space="preserve"> Most Christians who sin, even willfully, do so in a way that they feel ashamed of or guilty about it, and they hold fast to their hope and belief that Christ will save them in spite of their sin. Doing that, they are like Paul, who does not do what he wants to do but does what he does not want to do (Rom. 7:14-15), and considers himself to be a “wretched man” (Rom. 7:24) and the worst of sinners (1 Tim. 1:15). Although Paul would not dare trust in himself to be saved, he trusted in Christ and because of that he knew his salvation was secure (2 Tim. 4:6-8).</w:t>
      </w:r>
    </w:p>
    <w:p>
      <w:pPr>
        <w:pStyle w:val="rNormal"/>
        <w:widowControl w:val="on"/>
        <w:spacing w:before="240" w:after="240" w:line="240" w:lineRule="auto"/>
        <w:ind w:left="0" w:right="0"/>
        <w:jc w:val="left"/>
      </w:pPr>
      <w:r>
        <w:rPr/>
        <w:t xml:space="preserve">[For more on not having an inheritance in the Kingdom, i.e., not receiving everlasting life, see commentary on Gal. 5:21, “those who practice such things” and “will not inherit the Kingdom of God.” 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commentary on Eph. 5:11).</w:t>
      </w:r>
    </w:p>
    <w:p>
      <w:pPr>
        <w:pStyle w:val="rNormal"/>
        <w:widowControl w:val="on"/>
        <w:spacing w:before="240" w:after="240" w:line="240" w:lineRule="auto"/>
        <w:ind w:left="0" w:right="0"/>
        <w:jc w:val="left"/>
      </w:pPr>
      <w:r>
        <w:rPr/>
        <w:t xml:space="preserve">[For more on “empty,” see Word Study: “Fool.”]</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5:15</w:t>
      </w:r>
    </w:p>
    <w:p>
      <w:pPr>
        <w:pStyle w:val="rNormal"/>
        <w:widowControl w:val="on"/>
        <w:spacing w:before="240" w:after="240" w:line="240" w:lineRule="auto"/>
        <w:ind w:left="0" w:right="0" w:firstLine="1"/>
        <w:jc w:val="left"/>
      </w:pPr>
      <w:r>
        <w:rPr>
          <w:b/>
          <w:bCs/>
        </w:rPr>
        <w:t xml:space="preserve">“unwise.”</w:t>
      </w:r>
      <w:r>
        <w:rPr/>
        <w:t xml:space="preserve"> See Word Study: “Fool.”</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78695190"/>
        </w:numPr>
        <w:spacing w:before="0" w:after="0" w:line="240" w:lineRule="auto"/>
        <w:rPr/>
      </w:pPr>
      <w:r>
        <w:rPr/>
        <w:t xml:space="preserve">to redeem by payment of a price, to recover from the power of another, to ransom, buy off;</w:t>
      </w:r>
    </w:p>
    <w:p>
      <w:pPr>
        <w:numPr>
          <w:ilvl w:val="0"/>
          <w:numId w:val="78695190"/>
        </w:numPr>
        <w:spacing w:before="0" w:after="0" w:line="240" w:lineRule="auto"/>
        <w:rPr/>
      </w:pPr>
      <w:r>
        <w:rPr/>
        <w:t xml:space="preserve">metaphorically, of Christ freeing the elect from the dominion of the Mosaic Law at the price of his vicarious death</w:t>
      </w:r>
    </w:p>
    <w:p>
      <w:pPr>
        <w:numPr>
          <w:ilvl w:val="0"/>
          <w:numId w:val="78695190"/>
        </w:numPr>
        <w:spacing w:before="0" w:after="0" w:line="240" w:lineRule="auto"/>
        <w:rPr/>
      </w:pPr>
      <w:r>
        <w:rPr/>
        <w:t xml:space="preserve">to buy up, to buy up for one’s self, for one’s use</w:t>
      </w:r>
    </w:p>
    <w:p>
      <w:pPr>
        <w:numPr>
          <w:ilvl w:val="0"/>
          <w:numId w:val="78695190"/>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carries the sense of the “opportunity” of time that each person has.</w:t>
      </w:r>
    </w:p>
    <w:p>
      <w:pPr>
        <w:pStyle w:val="rVersHead"/>
        <w:widowControl w:val="on"/>
      </w:pPr>
      <w:r>
        <w:rPr/>
        <w:t xml:space="preserve">Eph 5:17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FootnoteReference"/>
        </w:rPr>
        <w:footnoteReference w:id="19512"/>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have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 actions.”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NET and NRSV, because much early music was more “spoken” than “sung,”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FootnoteReference"/>
        </w:rPr>
        <w:footnoteReference w:id="12377"/>
      </w:r>
      <w:r>
        <w:rPr/>
        <w:t xml:space="preserve"> Similarly, Ignatius the Bishop of Antioch (born between AD 35-50, and died between AD 98-117), speaks of Christians singing in praise of Jesus Christ.</w:t>
      </w:r>
      <w:r>
        <w:rPr>
          <w:rStyle w:val="FootnoteReference"/>
        </w:rPr>
        <w:footnoteReference w:id="11139"/>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their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FootnoteReference"/>
        </w:rPr>
        <w:footnoteReference w:id="21936"/>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“manage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see also Appendix 12: “The Bride of Christ”). Both the verb [“make holy”] and the participle [“having cleansed”] are in the aorist tense, and R. C. H. Lenski writes about that: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FootnoteReference"/>
        </w:rPr>
        <w:footnoteReference w:id="30071"/>
      </w:r>
      <w:r>
        <w:rPr/>
        <w:t xml:space="preserve"> When a person confesses and believes that Christ is the risen Lord, at that instant they are born again and are made holy and cleansed from their sin.</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trusts in Christ (Rom. 10:9-10),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Rotherham, YLT). The more common use of </w:t>
      </w:r>
      <w:r>
        <w:rPr>
          <w:i/>
          <w:iCs/>
        </w:rPr>
        <w:t xml:space="preserve">loutron</w:t>
      </w:r>
      <w:r>
        <w:rPr/>
        <w:t xml:space="preserve"> in Greek literature was to refer to the place where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FootnoteReference"/>
        </w:rPr>
        <w:footnoteReference w:id="19737"/>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FootnoteReference"/>
        </w:rPr>
        <w:footnoteReference w:id="26067"/>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generally gets its time frame from the context. Furthermore, there is a category of the aorist tense called a gnomic aorist, which presents “a timeless, general fact.”</w:t>
      </w:r>
      <w:r>
        <w:rPr>
          <w:rStyle w:val="FootnoteReference"/>
        </w:rPr>
        <w:footnoteReference w:id="29807"/>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Normal"/>
        <w:widowControl w:val="on"/>
        <w:spacing w:before="240" w:after="240" w:line="240" w:lineRule="auto"/>
        <w:ind w:left="0" w:right="0"/>
        <w:jc w:val="left"/>
      </w:pPr>
      <w:r>
        <w:rPr/>
        <w:t xml:space="preserve">The statement, “no one ever hates his own flesh,” applies generally to everyone. There is a modern teaching about the 2</w:t>
      </w:r>
      <w:r>
        <w:rPr>
          <w:vertAlign w:val="superscript"/>
        </w:rPr>
        <w:t xml:space="preserve">nd</w:t>
      </w:r>
      <w:r>
        <w:rPr/>
        <w:t xml:space="preserve"> great commandment, “Love your neighbor as yourself,” that says you have to love yourself first, and then goes on to say that everyone needs to learn to love themselves. While it is true that some people are hard on themselves and a few people are self-loathing, that is not the general problem in any given society. The real problem is that most people are selfish and self-centered, and many of them are looking for an excuse to be more so. The Bible has a number of commands to love others, precisely because most people do not do that. Ephesians 5:9 contains a timeless truth: in almost every case, people love themselves, and they love themselves much more than they love their neighors. Thus the command to love our neighbors as we love ourselves.</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FootnoteReference"/>
        </w:rPr>
        <w:footnoteReference w:id="26822"/>
      </w:r>
      <w:r>
        <w:rPr/>
        <w:t xml:space="preserve"> BDAG adds definitions such as “join, adhere to closely,” and gives an example from Josephus where a warrior’s sword was “glued” to his hand by the blood of the slain.”</w:t>
      </w:r>
      <w:r>
        <w:rPr>
          <w:rStyle w:val="FootnoteReference"/>
        </w:rPr>
        <w:footnoteReference w:id="15508"/>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FootnoteReference"/>
        </w:rPr>
        <w:footnoteReference w:id="13609"/>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FootnoteReference"/>
        </w:rPr>
        <w:footnoteReference w:id="23612"/>
      </w:r>
      <w:r>
        <w:rPr/>
        <w:t xml:space="preserve"> the “rearing and guiding a child toward maturity.”</w:t>
      </w:r>
      <w:r>
        <w:rPr>
          <w:rStyle w:val="FootnoteReference"/>
        </w:rPr>
        <w:footnoteReference w:id="23363"/>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BDAG, it means, “to counsel about avoidance or cessation of an improper course of conduct,”</w:t>
      </w:r>
      <w:r>
        <w:rPr>
          <w:rStyle w:val="FootnoteReference"/>
        </w:rPr>
        <w:footnoteReference w:id="13826"/>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w:t>
      </w:r>
      <w:r>
        <w:rPr>
          <w:i/>
          <w:iCs/>
        </w:rPr>
        <w:t xml:space="preserve">Greek-English Lexicon</w:t>
      </w:r>
      <w:r>
        <w:rPr/>
        <w:t xml:space="preserve">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FootnoteReference"/>
        </w:rPr>
        <w:footnoteReference w:id="12091"/>
      </w:r>
      <w:r>
        <w:rPr/>
        <w:t xml:space="preserve"> The REV has added “be obedient” at the beginning of the sentence as the main verb—not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has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the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FootnoteReference"/>
        </w:rPr>
        <w:footnoteReference w:id="12858"/>
      </w:r>
      <w:r>
        <w:rPr/>
        <w:t xml:space="preserve"> Harold Hoehner correctly notes, “The power does not come from the believer, but from an external source,” which would be God or the Lord Jesus.”</w:t>
      </w:r>
      <w:r>
        <w:rPr>
          <w:rStyle w:val="FootnoteReference"/>
        </w:rPr>
        <w:footnoteReference w:id="16233"/>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FootnoteReference"/>
        </w:rPr>
        <w:footnoteReference w:id="15833"/>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FootnoteReference"/>
        </w:rPr>
        <w:footnoteReference w:id="28210"/>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w:t>
      </w:r>
      <w:r>
        <w:rPr>
          <w:rStyle w:val="FootnoteReference"/>
        </w:rPr>
        <w:footnoteReference w:id="10688"/>
      </w:r>
      <w:r>
        <w:rPr/>
        <w:t xml:space="preserve">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lightly the spiritual battle we are in.</w:t>
      </w:r>
    </w:p>
    <w:p>
      <w:pPr>
        <w:pStyle w:val="rNormal"/>
        <w:widowControl w:val="on"/>
        <w:spacing w:before="240" w:after="240" w:line="240" w:lineRule="auto"/>
        <w:ind w:left="0" w:right="0"/>
        <w:jc w:val="left"/>
      </w:pPr>
      <w:r>
        <w:rPr/>
        <w:t xml:space="preserve">[For more on the Devil being in control of much of what happens on earth,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FootnoteReference"/>
        </w:rPr>
        <w:footnoteReference w:id="32187"/>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FootnoteReference"/>
        </w:rPr>
        <w:footnoteReference w:id="28639"/>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FootnoteReference"/>
        </w:rPr>
        <w:footnoteReference w:id="19617"/>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diligently pursue righteousness, or 2 Timothy 3:16 says that the Bible provides training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FootnoteReference"/>
        </w:rPr>
        <w:footnoteReference w:id="18873"/>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FootnoteReference"/>
        </w:rPr>
        <w:footnoteReference w:id="26500"/>
      </w:r>
      <w:r>
        <w:rPr/>
        <w:t xml:space="preserve"> it could also have reference to military boots that Roman soldiers wore called </w:t>
      </w:r>
      <w:r>
        <w:rPr>
          <w:i/>
          <w:iCs/>
        </w:rPr>
        <w:t xml:space="preserve">caliga</w:t>
      </w:r>
      <w:r>
        <w:rPr/>
        <w:t xml:space="preserve">, which were essentially a half-boot used for long marches.</w:t>
      </w:r>
      <w:r>
        <w:rPr>
          <w:rStyle w:val="FootnoteReference"/>
        </w:rPr>
        <w:footnoteReference w:id="20445"/>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phrase, which is literally translated as, “in preparation </w:t>
      </w:r>
      <w:r>
        <w:rPr>
          <w:i/>
          <w:iCs/>
        </w:rPr>
        <w:t xml:space="preserve">of</w:t>
      </w:r>
      <w:r>
        <w:rPr/>
        <w:t xml:space="preserve"> the good news of peace.” However, when translating the genitive case in Greek, using the word “of” does not always communicate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about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6884"/>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“Be praying.”</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2894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FootnoteReference"/>
        </w:rPr>
        <w:footnoteReference w:id="23888"/>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FootnoteReference"/>
        </w:rPr>
        <w:footnoteReference w:id="19249"/>
      </w:r>
      <w:r>
        <w:rPr/>
        <w:t xml:space="preserve"> Peter O’Brien writes, “In the first clause, the readers are encouraged to stand firm, ‘praying with every kind of prayer and petition.’”</w:t>
      </w:r>
      <w:r>
        <w:rPr>
          <w:rStyle w:val="FootnoteReference"/>
        </w:rPr>
        <w:footnoteReference w:id="24634"/>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FootnoteReference"/>
        </w:rPr>
        <w:footnoteReference w:id="22860"/>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w:t>
      </w:r>
      <w:r>
        <w:rPr>
          <w:b/>
          <w:bCs/>
        </w:rPr>
        <w:t xml:space="preserve">sacred secret </w:t>
      </w:r>
      <w:r>
        <w:rPr>
          <w:b/>
          <w:bCs/>
          <w:i/>
          <w:iCs/>
        </w:rPr>
        <w:t xml:space="preserve">that is</w:t>
      </w:r>
      <w:r>
        <w:rPr>
          <w:b/>
          <w:bCs/>
        </w:rPr>
        <w:t xml:space="preserve"> in the good news.</w:t>
      </w:r>
      <w:r>
        <w:rPr/>
        <w:t xml:space="preserve">” This phrase is a genitive phrase in the Greek, meaning that the sacred secret, in some way, relates to the good news. Well, the question must be asked, “In what way?”</w:t>
      </w:r>
    </w:p>
    <w:p>
      <w:pPr>
        <w:pStyle w:val="rNormal"/>
        <w:widowControl w:val="on"/>
        <w:spacing w:before="240" w:after="240" w:line="240" w:lineRule="auto"/>
        <w:ind w:left="0" w:right="0"/>
        <w:jc w:val="left"/>
      </w:pPr>
      <w:r>
        <w:rPr/>
        <w:t xml:space="preserve">There are three primary translation options. The first is to use the typical genitive translation, with the translation “mystery” for </w:t>
      </w:r>
      <w:r>
        <w:rPr>
          <w:i/>
          <w:iCs/>
        </w:rPr>
        <w:t xml:space="preserve">mustērion,</w:t>
      </w:r>
      <w:r>
        <w:rPr/>
        <w:t xml:space="preserve"> i.e., “mystery of the good news” (CSB, ESV, KJV, NASB, NIV). However, the downside to this translation is that the “of” is quite unclear, and secondly, the translation makes it sound as if the good news is a mystery that no one can really comprehend, yet </w:t>
      </w:r>
      <w:r>
        <w:rPr>
          <w:i/>
          <w:iCs/>
        </w:rPr>
        <w:t xml:space="preserve">mustērion</w:t>
      </w:r>
      <w:r>
        <w:rPr/>
        <w:t xml:space="preserve"> does not mean “mystery,” rather, it refers to a sacred secret.</w:t>
      </w:r>
    </w:p>
    <w:p>
      <w:pPr>
        <w:pStyle w:val="rNormal"/>
        <w:widowControl w:val="on"/>
        <w:spacing w:before="240" w:after="240" w:line="240" w:lineRule="auto"/>
        <w:ind w:left="0" w:right="0"/>
        <w:jc w:val="left"/>
      </w:pPr>
      <w:r>
        <w:rPr/>
        <w:t xml:space="preserve">The second possible translation option is for the genitive to be one of apposition, such as “sacred secret—the good news.” Although this translation is possible and would not be grossly in error because 1 Timothy 3:16 seems to teach that the sacred secret is made up of many different components. There is more biblical evidence that the sacred secret, or sacred secrets, only makes up a portion of the good news. Therefore, this translation would not quite accurately convey the meaning of the genitive because the sacred secret is not equivalent to the good news. This brings us to the final translation option to discuss.</w:t>
      </w:r>
    </w:p>
    <w:p>
      <w:pPr>
        <w:pStyle w:val="rNormal"/>
        <w:widowControl w:val="on"/>
        <w:spacing w:before="240" w:after="240" w:line="240" w:lineRule="auto"/>
        <w:ind w:left="0" w:right="0"/>
        <w:jc w:val="left"/>
      </w:pPr>
      <w:r>
        <w:rPr/>
        <w:t xml:space="preserve">Lastly, one great translation option is translating the phrase as an objective genitive, which in this case is describing the place where the </w:t>
      </w:r>
      <w:r>
        <w:rPr>
          <w:i/>
          <w:iCs/>
        </w:rPr>
        <w:t xml:space="preserve">mustērion</w:t>
      </w:r>
      <w:r>
        <w:rPr/>
        <w:t xml:space="preserve"> resides, namely, “in the good news.” The reason this is the translation chosen by the REV is that this most accurately captures how the two nouns relate. The sacred secret is found in the good news, just like one would find an article inside a newspaper. The entire newspaper is not the article, rather, the article makes up one portion of the newspaper. In the same way, the sacred secret makes up part of the good news, but it is not the entire good news. Paul could have many possibilities in mind when speaking of “the sacred secret”: that the Gentiles are grafted into the promises made to Israel (Rom. 11:25); the content of speaking in tongues (1 Cor. 14:2); that believers will receive new, transformed bodies at the return of Christ (1 Cor. 15:51); Christ’s relationship to the church (Eph. 5:32); the sacred secret of lawlessness (2 Thess. 2:7). However, the most likely option is that Paul has his earlier definition in mind when referring to the sacred secret here in Ephesians 6:19,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(Eph. 3:6).</w:t>
      </w:r>
    </w:p>
    <w:p>
      <w:pPr>
        <w:pStyle w:val="rNormal"/>
        <w:widowControl w:val="on"/>
        <w:spacing w:before="240" w:after="240" w:line="240" w:lineRule="auto"/>
        <w:ind w:left="0" w:right="0"/>
        <w:jc w:val="left"/>
      </w:pPr>
      <w:r>
        <w:rPr/>
        <w:t xml:space="preserve">Yet, the sacred secret Paul is referring to is not the entire good news. There is more to the good news than just these sacred secrets. There were promises which God spoke through the prophets of the Old Testament, and which God spoke himself, that God’s people had been looking forward to for centuries, that have been fulfilled in the good news of Christ. For instance, the resurrection of believers and life in the kingdom of God were both prophesied about in the Old Testament (Gen. 17:7-8; Dan. 7:27; 12:2; 2 Sam. 7:16), and they were fulfilled through the atoning work of Christ.</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(cf. Col 4:4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modern Christians, we can and should take Paul’s desire to be bold as a model for ourselves.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FootnoteReference"/>
        </w:rPr>
        <w:footnoteReference w:id="27110"/>
      </w:r>
      <w:r>
        <w:rPr/>
        <w:t xml:space="preserve"> While the literal meaning (“what I am doing”) is certainly possible and some English translations go that way, both the remoter and surrounding context favor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(#2443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989768680f571823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892490"/>
      <w:docPartObj>
        <w:docPartGallery w:val="Page Numbers (Bottom of Page)"/>
        <w:docPartUnique/>
      </w:docPartObj>
    </w:sdtPr>
    <w:sdtContent>
      <w:sdt>
        <w:sdtPr>
          <w:id w:val="2183341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53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12561">
    <w:p>
      <w:pPr>
        <w:pStyle w:val="FootnoteText"/>
      </w:pPr>
      <w:r>
        <w:rPr>
          <w:rStyle w:val="FootnoteReference"/>
        </w:rPr>
        <w:footnoteRef/>
      </w:r>
      <w:r>
        <w:t xml:space="preserve">
          <w:r>
            <w:t xml:space="preserve">
              <w:r>
                <w:t xml:space="preserve"> BDAG</w:t>
              </w:r>
              <w:r>
                <w:rPr>
                  <w:i/>
                </w:rPr>
                <w:t xml:space="preserve">,</w:t>
              </w:r>
              <w:r>
                <w:t xml:space="preserve"> s.v. “ἐν.”</w:t>
              </w:r>
            </w:t>
          </w:r>
        </w:t>
      </w:r>
    </w:p>
  </w:footnote>
  <w:footnote w:id="28115">
    <w:p>
      <w:pPr>
        <w:pStyle w:val="FootnoteText"/>
      </w:pPr>
      <w:r>
        <w:rPr>
          <w:rStyle w:val="FootnoteReference"/>
        </w:rPr>
        <w:footnoteRef/>
      </w:r>
      <w:r>
        <w:t xml:space="preserve">
          <w:r>
            <w:t xml:space="preserve">
              <w:r>
                <w:t xml:space="preserve"> Bratcher and Nida,</w:t>
              </w:r>
              <w:r>
                <w:rPr>
                  <w:i/>
                </w:rPr>
                <w:t xml:space="preserve"> A Translator’s Handbook on Paul’s Letter to the Ephesians</w:t>
              </w:r>
              <w:r>
                <w:t xml:space="preserve">, 9.</w:t>
              </w:r>
            </w:t>
          </w:r>
        </w:t>
      </w:r>
    </w:p>
  </w:footnote>
  <w:footnote w:id="10157">
    <w:p>
      <w:pPr>
        <w:pStyle w:val="FootnoteText"/>
      </w:pPr>
      <w:r>
        <w:rPr>
          <w:rStyle w:val="FootnoteReference"/>
        </w:rPr>
        <w:footnoteRef/>
      </w:r>
      <w:r>
        <w:t xml:space="preserve">
          <w:r>
            <w:t xml:space="preserve">
              <w:r>
                <w:t xml:space="preserve"> Cf.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 Today’s English Version; The Kingdom of God Version.</w:t>
              </w:r>
            </w:t>
          </w:r>
        </w:t>
      </w:r>
    </w:p>
  </w:footnote>
  <w:footnote w:id="1570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4:517.</w:t>
              </w:r>
            </w:t>
          </w:r>
        </w:t>
      </w:r>
    </w:p>
  </w:footnote>
  <w:footnote w:id="20870">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13-14.</w:t>
              </w:r>
            </w:t>
          </w:r>
        </w:t>
      </w:r>
    </w:p>
  </w:footnote>
  <w:footnote w:id="11601">
    <w:p>
      <w:pPr>
        <w:pStyle w:val="FootnoteText"/>
      </w:pPr>
      <w:r>
        <w:rPr>
          <w:rStyle w:val="FootnoteReference"/>
        </w:rPr>
        <w:footnoteRef/>
      </w:r>
      <w:r>
        <w:t xml:space="preserve">
          <w:r>
            <w:t xml:space="preserve">
              <w:r>
                <w:t xml:space="preserve"> Ann Nyland, </w:t>
              </w:r>
              <w:r>
                <w:rPr>
                  <w:i/>
                </w:rPr>
                <w:t xml:space="preserve">The Source New Testament</w:t>
              </w:r>
              <w:r>
                <w:t xml:space="preserve">, 367.</w:t>
              </w:r>
            </w:t>
          </w:r>
        </w:t>
      </w:r>
    </w:p>
  </w:footnote>
  <w:footnote w:id="18219">
    <w:p>
      <w:pPr>
        <w:pStyle w:val="FootnoteText"/>
      </w:pPr>
      <w:r>
        <w:rPr>
          <w:rStyle w:val="FootnoteReference"/>
        </w:rPr>
        <w:footnoteRef/>
      </w:r>
      <w:r>
        <w:t xml:space="preserve">
          <w:r>
            <w:t xml:space="preserve">
              <w:r>
                <w:t xml:space="preserve"> David Stern, </w:t>
              </w:r>
              <w:r>
                <w:rPr>
                  <w:i/>
                </w:rPr>
                <w:t xml:space="preserve">Complete Jewish Bible</w:t>
              </w:r>
              <w:r>
                <w:t xml:space="preserve">.</w:t>
              </w:r>
            </w:t>
          </w:r>
        </w:t>
      </w:r>
    </w:p>
  </w:footnote>
  <w:footnote w:id="14479">
    <w:p>
      <w:pPr>
        <w:pStyle w:val="FootnoteText"/>
      </w:pPr>
      <w:r>
        <w:rPr>
          <w:rStyle w:val="FootnoteReference"/>
        </w:rPr>
        <w:footnoteRef/>
      </w:r>
      <w:r>
        <w:t xml:space="preserve">
          <w:r>
            <w:t xml:space="preserve">
              <w:r>
                <w:t xml:space="preserve"> W. E. Vine, </w:t>
              </w:r>
              <w:r>
                <w:rPr>
                  <w:i/>
                </w:rPr>
                <w:t xml:space="preserve">Expanded Vine’s Expository Dictionary</w:t>
              </w:r>
              <w:r>
                <w:t xml:space="preserve">, s.v. “adoption,” 23-24.</w:t>
              </w:r>
            </w:t>
          </w:r>
        </w:t>
      </w:r>
    </w:p>
  </w:footnote>
  <w:footnote w:id="29577">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υἱοθεσία.”</w:t>
              </w:r>
            </w:t>
          </w:r>
        </w:t>
      </w:r>
    </w:p>
  </w:footnote>
  <w:footnote w:id="26556">
    <w:p>
      <w:pPr>
        <w:pStyle w:val="FootnoteText"/>
      </w:pPr>
      <w:r>
        <w:rPr>
          <w:rStyle w:val="FootnoteReference"/>
        </w:rPr>
        <w:footnoteRef/>
      </w:r>
      <w:r>
        <w:t xml:space="preserve">
          <w:r>
            <w:t xml:space="preserve">
              <w:r>
                <w:t xml:space="preserve"> Longenecker, </w:t>
              </w:r>
              <w:r>
                <w:rPr>
                  <w:i/>
                </w:rPr>
                <w:t xml:space="preserve">The Epistle to the Romans</w:t>
              </w:r>
              <w:r>
                <w:t xml:space="preserve"> [NIGTC], on Rom. 8:15; Charles Welch, </w:t>
              </w:r>
              <w:r>
                <w:rPr>
                  <w:i/>
                </w:rPr>
                <w:t xml:space="preserve">Just and the Justifier</w:t>
              </w:r>
              <w:r>
                <w:t xml:space="preserve">, 208-213.</w:t>
              </w:r>
            </w:t>
          </w:r>
        </w:t>
      </w:r>
    </w:p>
  </w:footnote>
  <w:footnote w:id="12321">
    <w:p>
      <w:pPr>
        <w:pStyle w:val="FootnoteText"/>
      </w:pPr>
      <w:r>
        <w:rPr>
          <w:rStyle w:val="FootnoteReference"/>
        </w:rPr>
        <w:footnoteRef/>
      </w:r>
      <w:r>
        <w:t xml:space="preserve">
          <w:r>
            <w:t xml:space="preserve">
              <w:r>
                <w:t xml:space="preserve"> W. M. Ramsay, </w:t>
              </w:r>
              <w:r>
                <w:rPr>
                  <w:i/>
                </w:rPr>
                <w:t xml:space="preserve">A Historical Commentary on St. Paul’s Epistle to the Galatians</w:t>
              </w:r>
              <w:r>
                <w:t xml:space="preserve">, 337-353.</w:t>
              </w:r>
            </w:t>
          </w:r>
        </w:t>
      </w:r>
    </w:p>
  </w:footnote>
  <w:footnote w:id="31941">
    <w:p>
      <w:pPr>
        <w:pStyle w:val="FootnoteText"/>
      </w:pPr>
      <w:r>
        <w:rPr>
          <w:rStyle w:val="FootnoteReference"/>
        </w:rPr>
        <w:footnoteRef/>
      </w:r>
      <w:r>
        <w:t xml:space="preserve">
          <w:r>
            <w:t xml:space="preserve">
              <w:r>
                <w:t xml:space="preserve"> Cf. Hendriksen, </w:t>
              </w:r>
              <w:r>
                <w:rPr>
                  <w:i/>
                </w:rPr>
                <w:t xml:space="preserve">New Testament Commentary: Philippians</w:t>
              </w:r>
              <w:r>
                <w:t xml:space="preserve">, Phil. 1:11ff., 62-63.</w:t>
              </w:r>
            </w:t>
          </w:r>
        </w:t>
      </w:r>
    </w:p>
  </w:footnote>
  <w:footnote w:id="21013">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200.</w:t>
              </w:r>
            </w:t>
          </w:r>
        </w:t>
      </w:r>
    </w:p>
  </w:footnote>
  <w:footnote w:id="25040">
    <w:p>
      <w:pPr>
        <w:pStyle w:val="FootnoteText"/>
      </w:pPr>
      <w:r>
        <w:rPr>
          <w:rStyle w:val="FootnoteReference"/>
        </w:rPr>
        <w:footnoteRef/>
      </w:r>
      <w:r>
        <w:t xml:space="preserve">
          <w:r>
            <w:t xml:space="preserve">
              <w:r>
                <w:t xml:space="preserve"> Cf. Harold Hoehner, </w:t>
              </w:r>
              <w:r>
                <w:rPr>
                  <w:i/>
                </w:rPr>
                <w:t xml:space="preserve">Ephesians</w:t>
              </w:r>
              <w:r>
                <w:t xml:space="preserve">, 213.</w:t>
              </w:r>
            </w:t>
          </w:r>
        </w:t>
      </w:r>
    </w:p>
  </w:footnote>
  <w:footnote w:id="30807">
    <w:p>
      <w:pPr>
        <w:pStyle w:val="FootnoteText"/>
      </w:pPr>
      <w:r>
        <w:rPr>
          <w:rStyle w:val="FootnoteReference"/>
        </w:rPr>
        <w:footnoteRef/>
      </w:r>
      <w:r>
        <w:t xml:space="preserve">
          <w:r>
            <w:t xml:space="preserve">
              <w:r>
                <w:t xml:space="preserve"> Vine, </w:t>
              </w:r>
              <w:r>
                <w:rPr>
                  <w:i/>
                </w:rPr>
                <w:t xml:space="preserve">Expository Dictionary</w:t>
              </w:r>
              <w:r>
                <w:t xml:space="preserve">, s.v. “Mystery”; Bullinger, </w:t>
              </w:r>
              <w:r>
                <w:rPr>
                  <w:i/>
                </w:rPr>
                <w:t xml:space="preserve">Lexicon</w:t>
              </w:r>
              <w:r>
                <w:t xml:space="preserve">, s.v. “Mystery”; Thayer, </w:t>
              </w:r>
              <w:r>
                <w:rPr>
                  <w:i/>
                </w:rPr>
                <w:t xml:space="preserve">Lexicon</w:t>
              </w:r>
              <w:r>
                <w:t xml:space="preserve">, s.v. “μυστήριον.”</w:t>
              </w:r>
            </w:t>
          </w:r>
        </w:t>
      </w:r>
    </w:p>
  </w:footnote>
  <w:footnote w:id="18640">
    <w:p>
      <w:pPr>
        <w:pStyle w:val="FootnoteText"/>
      </w:pPr>
      <w:r>
        <w:rPr>
          <w:rStyle w:val="FootnoteReference"/>
        </w:rPr>
        <w:footnoteRef/>
      </w:r>
      <w:r>
        <w:t xml:space="preserve">
          <w:r>
            <w:t xml:space="preserve">
              <w:r>
                <w:t xml:space="preserve"> BDAG, s.v. “προτίθημι.”</w:t>
              </w:r>
            </w:t>
          </w:r>
        </w:t>
      </w:r>
    </w:p>
  </w:footnote>
  <w:footnote w:id="11806">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220.</w:t>
              </w:r>
            </w:t>
          </w:r>
        </w:t>
      </w:r>
    </w:p>
  </w:footnote>
  <w:footnote w:id="19448">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225-27.</w:t>
              </w:r>
            </w:t>
          </w:r>
        </w:t>
      </w:r>
    </w:p>
  </w:footnote>
  <w:footnote w:id="25651">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[AB], 131.</w:t>
              </w:r>
            </w:t>
          </w:r>
        </w:t>
      </w:r>
    </w:p>
  </w:footnote>
  <w:footnote w:id="15022">
    <w:p>
      <w:pPr>
        <w:pStyle w:val="FootnoteText"/>
      </w:pPr>
      <w:r>
        <w:rPr>
          <w:rStyle w:val="FootnoteReference"/>
        </w:rPr>
        <w:footnoteRef/>
      </w:r>
      <w:r>
        <w:t xml:space="preserve">
          <w:r>
            <w:t xml:space="preserve">
              <w:r>
                <w:t xml:space="preserve"> Barth, </w:t>
              </w:r>
              <w:r>
                <w:rPr>
                  <w:i/>
                </w:rPr>
                <w:t xml:space="preserve">Ephesians 1-3</w:t>
              </w:r>
              <w:r>
                <w:t xml:space="preserve">, “VIII The Praise of God’s Glory” [AB], 113.</w:t>
              </w:r>
            </w:t>
          </w:r>
        </w:t>
      </w:r>
    </w:p>
  </w:footnote>
  <w:footnote w:id="15495">
    <w:p>
      <w:pPr>
        <w:pStyle w:val="FootnoteText"/>
      </w:pPr>
      <w:r>
        <w:rPr>
          <w:rStyle w:val="FootnoteReference"/>
        </w:rPr>
        <w:footnoteRef/>
      </w:r>
      <w:r>
        <w:t xml:space="preserve">
          <w:r>
            <w:t xml:space="preserve">
              <w:r>
                <w:t xml:space="preserve"> Hoehner, </w:t>
              </w:r>
              <w:r>
                <w:rPr>
                  <w:i/>
                </w:rPr>
                <w:t xml:space="preserve">Ephesians</w:t>
              </w:r>
              <w:r>
                <w:t xml:space="preserve">, note on Eph. 1:6, 200.</w:t>
              </w:r>
            </w:t>
          </w:r>
        </w:t>
      </w:r>
    </w:p>
  </w:footnote>
  <w:footnote w:id="20740">
    <w:p>
      <w:pPr>
        <w:pStyle w:val="FootnoteText"/>
      </w:pPr>
      <w:r>
        <w:rPr>
          <w:rStyle w:val="FootnoteReference"/>
        </w:rPr>
        <w:footnoteRef/>
      </w:r>
      <w:r>
        <w:t xml:space="preserve">
          <w:r>
            <w:t xml:space="preserve">
              <w:r>
                <w:t xml:space="preserve"> Lenski, </w:t>
              </w:r>
              <w:r>
                <w:rPr>
                  <w:i/>
                </w:rPr>
                <w:t xml:space="preserve">The Interpretation of St. Paul’s Epistle to the Ephesians</w:t>
              </w:r>
              <w:r>
                <w:t xml:space="preserve">, 382.</w:t>
              </w:r>
            </w:t>
          </w:r>
        </w:t>
      </w:r>
    </w:p>
  </w:footnote>
  <w:footnote w:id="25758">
    <w:p>
      <w:pPr>
        <w:pStyle w:val="FootnoteText"/>
      </w:pPr>
      <w:r>
        <w:rPr>
          <w:rStyle w:val="FootnoteReference"/>
        </w:rPr>
        <w:footnoteRef/>
      </w:r>
      <w:r>
        <w:t xml:space="preserve">
          <w:r>
            <w:t xml:space="preserve">
              <w:r>
                <w:t xml:space="preserve"> BDAG, p. 980.</w:t>
              </w:r>
            </w:t>
          </w:r>
        </w:t>
      </w:r>
    </w:p>
  </w:footnote>
  <w:footnote w:id="23875">
    <w:p>
      <w:pPr>
        <w:pStyle w:val="FootnoteText"/>
      </w:pPr>
      <w:r>
        <w:rPr>
          <w:rStyle w:val="FootnoteReference"/>
        </w:rPr>
        <w:footnoteRef/>
      </w:r>
      <w:r>
        <w:t xml:space="preserve">
          <w:r>
            <w:t xml:space="preserve">
              <w:r>
                <w:t xml:space="preserve"> D. Miall Edwards, “Seal,” in The International Standard Bible Encyclopaedia, ed. James Orr et al. (Chicago: The Howard-Severance Company, 1915), 2709.</w:t>
              </w:r>
            </w:t>
          </w:r>
        </w:t>
      </w:r>
    </w:p>
  </w:footnote>
  <w:footnote w:id="21839">
    <w:p>
      <w:pPr>
        <w:pStyle w:val="FootnoteText"/>
      </w:pPr>
      <w:r>
        <w:rPr>
          <w:rStyle w:val="FootnoteReference"/>
        </w:rPr>
        <w:footnoteRef/>
      </w:r>
      <w:r>
        <w:t xml:space="preserve">
          <w:r>
            <w:t xml:space="preserve">
              <w:r>
                <w:t xml:space="preserve"> BDAG, def. 1, p. 980.</w:t>
              </w:r>
            </w:t>
          </w:r>
        </w:t>
      </w:r>
    </w:p>
  </w:footnote>
  <w:footnote w:id="24373">
    <w:p>
      <w:pPr>
        <w:pStyle w:val="FootnoteText"/>
      </w:pPr>
      <w:r>
        <w:rPr>
          <w:rStyle w:val="FootnoteReference"/>
        </w:rPr>
        <w:footnoteRef/>
      </w:r>
      <w:r>
        <w:t xml:space="preserve">
          <w:r>
            <w:t xml:space="preserve">
              <w:r>
                <w:t xml:space="preserve"> Cf. BDAG.</w:t>
              </w:r>
            </w:t>
          </w:r>
        </w:t>
      </w:r>
    </w:p>
  </w:footnote>
  <w:footnote w:id="12489">
    <w:p>
      <w:pPr>
        <w:pStyle w:val="FootnoteText"/>
      </w:pPr>
      <w:r>
        <w:rPr>
          <w:rStyle w:val="FootnoteReference"/>
        </w:rPr>
        <w:footnoteRef/>
      </w:r>
      <w:r>
        <w:t xml:space="preserve">
          <w:r>
            <w:t xml:space="preserve">
              <w:r>
                <w:t xml:space="preserve"> J. H. Moulton and G. Milligan, </w:t>
              </w:r>
              <w:r>
                <w:rPr>
                  <w:i/>
                </w:rPr>
                <w:t xml:space="preserve">Vocabulary of the Greek New Testament</w:t>
              </w:r>
              <w:r>
                <w:t xml:space="preserve">, s.v. “ἀρραβών,” 79.</w:t>
              </w:r>
            </w:t>
          </w:r>
        </w:t>
      </w:r>
    </w:p>
  </w:footnote>
  <w:footnote w:id="22805">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[AYB], 96–97.</w:t>
              </w:r>
            </w:t>
          </w:r>
        </w:t>
      </w:r>
    </w:p>
  </w:footnote>
  <w:footnote w:id="10279">
    <w:p>
      <w:pPr>
        <w:pStyle w:val="FootnoteText"/>
      </w:pPr>
      <w:r>
        <w:rPr>
          <w:rStyle w:val="FootnoteReference"/>
        </w:rPr>
        <w:footnoteRef/>
      </w:r>
      <w:r>
        <w:t xml:space="preserve">
          <w:r>
            <w:t xml:space="preserve">
              <w:r>
                <w:t xml:space="preserve"> C. E. Schenk, “Guarantee,” in </w:t>
              </w:r>
              <w:r>
                <w:rPr>
                  <w:i/>
                </w:rPr>
                <w:t xml:space="preserve">The International Standard Bible Encyclopedia</w:t>
              </w:r>
              <w:r>
                <w:t xml:space="preserve">, rev. ed., ed. Geoffrey W Bromiley, 577.</w:t>
              </w:r>
            </w:t>
          </w:r>
        </w:t>
      </w:r>
    </w:p>
  </w:footnote>
  <w:footnote w:id="28894">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257.</w:t>
              </w:r>
            </w:t>
          </w:r>
        </w:t>
      </w:r>
    </w:p>
  </w:footnote>
  <w:footnote w:id="29169">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258.</w:t>
              </w:r>
            </w:t>
          </w:r>
        </w:t>
      </w:r>
    </w:p>
  </w:footnote>
  <w:footnote w:id="20934">
    <w:p>
      <w:pPr>
        <w:pStyle w:val="FootnoteText"/>
      </w:pPr>
      <w:r>
        <w:rPr>
          <w:rStyle w:val="FootnoteReference"/>
        </w:rPr>
        <w:footnoteRef/>
      </w:r>
      <w:r>
        <w:t xml:space="preserve">
          <w:r>
            <w:t xml:space="preserve">
              <w:r>
                <w:t xml:space="preserve"> Markus Barth, </w:t>
              </w:r>
              <w:r>
                <w:rPr>
                  <w:i/>
                </w:rPr>
                <w:t xml:space="preserve">Ephesians</w:t>
              </w:r>
              <w:r>
                <w:t xml:space="preserve"> [AB], 151.</w:t>
              </w:r>
            </w:t>
          </w:r>
        </w:t>
      </w:r>
    </w:p>
  </w:footnote>
  <w:footnote w:id="28051">
    <w:p>
      <w:pPr>
        <w:pStyle w:val="FootnoteText"/>
      </w:pPr>
      <w:r>
        <w:rPr>
          <w:rStyle w:val="FootnoteReference"/>
        </w:rPr>
        <w:footnoteRef/>
      </w:r>
      <w:r>
        <w:t xml:space="preserve">
          <w:r>
            <w:t xml:space="preserve">
              <w:r>
                <w:t xml:space="preserve"> Andrew T. Lincoln, </w:t>
              </w:r>
              <w:r>
                <w:rPr>
                  <w:i/>
                </w:rPr>
                <w:t xml:space="preserve">Ephesians</w:t>
              </w:r>
              <w:r>
                <w:t xml:space="preserve"> [WBC], 59.</w:t>
              </w:r>
            </w:t>
          </w:r>
        </w:t>
      </w:r>
    </w:p>
  </w:footnote>
  <w:footnote w:id="22680">
    <w:p>
      <w:pPr>
        <w:pStyle w:val="FootnoteText"/>
      </w:pPr>
      <w:r>
        <w:rPr>
          <w:rStyle w:val="FootnoteReference"/>
        </w:rPr>
        <w:footnoteRef/>
      </w:r>
      <w:r>
        <w:t xml:space="preserve">
          <w:r>
            <w:t xml:space="preserve">
              <w:r>
                <w:t xml:space="preserve"> Margaret MacDonald, </w:t>
              </w:r>
              <w:r>
                <w:rPr>
                  <w:i/>
                </w:rPr>
                <w:t xml:space="preserve">Colossians and Ephesians</w:t>
              </w:r>
              <w:r>
                <w:t xml:space="preserve">, Sacra Pagina, 218.</w:t>
              </w:r>
            </w:t>
          </w:r>
        </w:t>
      </w:r>
    </w:p>
  </w:footnote>
  <w:footnote w:id="26585">
    <w:p>
      <w:pPr>
        <w:pStyle w:val="FootnoteText"/>
      </w:pPr>
      <w:r>
        <w:rPr>
          <w:rStyle w:val="FootnoteReference"/>
        </w:rPr>
        <w:footnoteRef/>
      </w:r>
      <w:r>
        <w:t xml:space="preserve">
          <w:r>
            <w:t xml:space="preserve">
              <w:r>
                <w:t xml:space="preserve"> M. Barth, </w:t>
              </w:r>
              <w:r>
                <w:rPr>
                  <w:i/>
                </w:rPr>
                <w:t xml:space="preserve">Ephesians</w:t>
              </w:r>
              <w:r>
                <w:t xml:space="preserve"> [AB], 151.</w:t>
              </w:r>
            </w:t>
          </w:r>
        </w:t>
      </w:r>
    </w:p>
  </w:footnote>
  <w:footnote w:id="16211">
    <w:p>
      <w:pPr>
        <w:pStyle w:val="FootnoteText"/>
      </w:pPr>
      <w:r>
        <w:rPr>
          <w:rStyle w:val="FootnoteReference"/>
        </w:rPr>
        <w:footnoteRef/>
      </w:r>
      <w:r>
        <w:t xml:space="preserve">
          <w:r>
            <w:t xml:space="preserve">
              <w:r>
                <w:t xml:space="preserve"> Benjamin Merkle, </w:t>
              </w:r>
              <w:r>
                <w:rPr>
                  <w:i/>
                </w:rPr>
                <w:t xml:space="preserve">Ephesians</w:t>
              </w:r>
              <w:r>
                <w:t xml:space="preserve"> [EGGNT], 43.</w:t>
              </w:r>
            </w:t>
          </w:r>
        </w:t>
      </w:r>
    </w:p>
  </w:footnote>
  <w:footnote w:id="13429">
    <w:p>
      <w:pPr>
        <w:pStyle w:val="FootnoteText"/>
      </w:pPr>
      <w:r>
        <w:rPr>
          <w:rStyle w:val="FootnoteReference"/>
        </w:rPr>
        <w:footnoteRef/>
      </w:r>
      <w:r>
        <w:t xml:space="preserve">
          <w:r>
            <w:t xml:space="preserve">
              <w:r>
                <w:t xml:space="preserve"> William Hendriksen, </w:t>
              </w:r>
              <w:r>
                <w:rPr>
                  <w:i/>
                </w:rPr>
                <w:t xml:space="preserve">New Testament Commentary: Galatians and Ephesians</w:t>
              </w:r>
              <w:r>
                <w:t xml:space="preserve">, 99.</w:t>
              </w:r>
            </w:t>
          </w:r>
        </w:t>
      </w:r>
    </w:p>
  </w:footnote>
  <w:footnote w:id="10295">
    <w:p>
      <w:pPr>
        <w:pStyle w:val="FootnoteText"/>
      </w:pPr>
      <w:r>
        <w:rPr>
          <w:rStyle w:val="FootnoteReference"/>
        </w:rPr>
        <w:footnoteRef/>
      </w:r>
      <w:r>
        <w:t xml:space="preserve">
          <w:r>
            <w:t xml:space="preserve">
              <w:r>
                <w:t xml:space="preserve"> Lenski, </w:t>
              </w:r>
              <w:r>
                <w:rPr>
                  <w:i/>
                </w:rPr>
                <w:t xml:space="preserve">St. Paul’s Epistle to the Ephesians</w:t>
              </w:r>
              <w:r>
                <w:t xml:space="preserve">, 396.</w:t>
              </w:r>
            </w:t>
          </w:r>
        </w:t>
      </w:r>
    </w:p>
  </w:footnote>
  <w:footnote w:id="19576">
    <w:p>
      <w:pPr>
        <w:pStyle w:val="FootnoteText"/>
      </w:pPr>
      <w:r>
        <w:rPr>
          <w:rStyle w:val="FootnoteReference"/>
        </w:rPr>
        <w:footnoteRef/>
      </w:r>
      <w:r>
        <w:t xml:space="preserve">
          <w:r>
            <w:t xml:space="preserve">
              <w:r>
                <w:t xml:space="preserve"> David H. Stern, </w:t>
              </w:r>
              <w:r>
                <w:rPr>
                  <w:i/>
                </w:rPr>
                <w:t xml:space="preserve">Complete Jewish Bible</w:t>
              </w:r>
              <w:r>
                <w:t xml:space="preserve">.</w:t>
              </w:r>
            </w:t>
          </w:r>
        </w:t>
      </w:r>
    </w:p>
  </w:footnote>
  <w:footnote w:id="31415">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144-145.</w:t>
              </w:r>
            </w:t>
          </w:r>
        </w:t>
      </w:r>
    </w:p>
  </w:footnote>
  <w:footnote w:id="29159">
    <w:p>
      <w:pPr>
        <w:pStyle w:val="FootnoteText"/>
      </w:pPr>
      <w:r>
        <w:rPr>
          <w:rStyle w:val="FootnoteReference"/>
        </w:rPr>
        <w:footnoteRef/>
      </w:r>
      <w:r>
        <w:t xml:space="preserve">
          <w:r>
            <w:t xml:space="preserve">
              <w:r>
                <w:t xml:space="preserve"> Lenski, </w:t>
              </w:r>
              <w:r>
                <w:rPr>
                  <w:i/>
                </w:rPr>
                <w:t xml:space="preserve">St. Paul’s Epistles to the Ephesians and Philippians</w:t>
              </w:r>
              <w:r>
                <w:t xml:space="preserve">, 407.</w:t>
              </w:r>
            </w:t>
          </w:r>
        </w:t>
      </w:r>
    </w:p>
  </w:footnote>
  <w:footnote w:id="18194">
    <w:p>
      <w:pPr>
        <w:pStyle w:val="FootnoteText"/>
      </w:pPr>
      <w:r>
        <w:rPr>
          <w:rStyle w:val="FootnoteReference"/>
        </w:rPr>
        <w:footnoteRef/>
      </w:r>
      <w:r>
        <w:t xml:space="preserve">
          <w:r>
            <w:t xml:space="preserve">
              <w:r>
                <w:t xml:space="preserve"> Meyer, </w:t>
              </w:r>
              <w:r>
                <w:rPr>
                  <w:i/>
                </w:rPr>
                <w:t xml:space="preserve">Critical and Exegetical Commentary on the New Testament</w:t>
              </w:r>
              <w:r>
                <w:t xml:space="preserve">, 356.</w:t>
              </w:r>
            </w:t>
          </w:r>
        </w:t>
      </w:r>
    </w:p>
  </w:footnote>
  <w:footnote w:id="30576">
    <w:p>
      <w:pPr>
        <w:pStyle w:val="FootnoteText"/>
      </w:pPr>
      <w:r>
        <w:rPr>
          <w:rStyle w:val="FootnoteReference"/>
        </w:rPr>
        <w:footnoteRef/>
      </w:r>
      <w:r>
        <w:t xml:space="preserve">
          <w:r>
            <w:t xml:space="preserve">
              <w:r>
                <w:t xml:space="preserve"> Meyer, 357.</w:t>
              </w:r>
            </w:t>
          </w:r>
        </w:t>
      </w:r>
    </w:p>
  </w:footnote>
  <w:footnote w:id="27240">
    <w:p>
      <w:pPr>
        <w:pStyle w:val="FootnoteText"/>
      </w:pPr>
      <w:r>
        <w:rPr>
          <w:rStyle w:val="FootnoteReference"/>
        </w:rPr>
        <w:footnoteRef/>
      </w:r>
      <w:r>
        <w:t xml:space="preserve">
          <w:r>
            <w:t xml:space="preserve">
              <w:r>
                <w:t xml:space="preserve"> M. Barth, </w:t>
              </w:r>
              <w:r>
                <w:rPr>
                  <w:i/>
                </w:rPr>
                <w:t xml:space="preserve">Ephesians 1-3</w:t>
              </w:r>
              <w:r>
                <w:t xml:space="preserve"> [AB], 233.</w:t>
              </w:r>
            </w:t>
          </w:r>
        </w:t>
      </w:r>
    </w:p>
  </w:footnote>
  <w:footnote w:id="30821">
    <w:p>
      <w:pPr>
        <w:pStyle w:val="FootnoteText"/>
      </w:pPr>
      <w:r>
        <w:rPr>
          <w:rStyle w:val="FootnoteReference"/>
        </w:rPr>
        <w:footnoteRef/>
      </w:r>
      <w:r>
        <w:t xml:space="preserve">
          <w:r>
            <w:t xml:space="preserve">
              <w:r>
                <w:t xml:space="preserve"> Richard C. Trench, </w:t>
              </w:r>
              <w:r>
                <w:rPr>
                  <w:i/>
                </w:rPr>
                <w:t xml:space="preserve">Synonyms of the New Testament</w:t>
              </w:r>
              <w:r>
                <w:t xml:space="preserve">, 217-18.</w:t>
              </w:r>
            </w:t>
          </w:r>
        </w:t>
      </w:r>
    </w:p>
  </w:footnote>
  <w:footnote w:id="26518">
    <w:p>
      <w:pPr>
        <w:pStyle w:val="FootnoteText"/>
      </w:pPr>
      <w:r>
        <w:rPr>
          <w:rStyle w:val="FootnoteReference"/>
        </w:rPr>
        <w:footnoteRef/>
      </w:r>
      <w:r>
        <w:t xml:space="preserve">
          <w:r>
            <w:t xml:space="preserve">
              <w:r>
                <w:t xml:space="preserve"> William Arndt et al., </w:t>
              </w:r>
              <w:r>
                <w:rPr>
                  <w:i/>
                </w:rPr>
                <w:t xml:space="preserve">A Greek-English Lexicon of the New Testament and Other Early Christian Literature</w:t>
              </w:r>
              <w:r>
                <w:t xml:space="preserve"> (University of Chicago Press, 2000), 353.</w:t>
              </w:r>
            </w:t>
          </w:r>
        </w:t>
      </w:r>
    </w:p>
  </w:footnote>
  <w:footnote w:id="32722">
    <w:p>
      <w:pPr>
        <w:pStyle w:val="FootnoteText"/>
      </w:pPr>
      <w:r>
        <w:rPr>
          <w:rStyle w:val="FootnoteReference"/>
        </w:rPr>
        <w:footnoteRef/>
      </w:r>
      <w:r>
        <w:t xml:space="preserve">
          <w:r>
            <w:t xml:space="preserve">
              <w:r>
                <w:t xml:space="preserve"> E. W. Bullinger, </w:t>
              </w:r>
              <w:r>
                <w:rPr>
                  <w:i/>
                </w:rPr>
                <w:t xml:space="preserve">The Companion Bible</w:t>
              </w:r>
              <w:r>
                <w:t xml:space="preserve">, 1762.</w:t>
              </w:r>
            </w:t>
          </w:r>
        </w:t>
      </w:r>
    </w:p>
  </w:footnote>
  <w:footnote w:id="32575">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510-34, “heterosis.”</w:t>
              </w:r>
            </w:t>
          </w:r>
        </w:t>
      </w:r>
    </w:p>
  </w:footnote>
  <w:footnote w:id="30603">
    <w:p>
      <w:pPr>
        <w:pStyle w:val="FootnoteText"/>
      </w:pPr>
      <w:r>
        <w:rPr>
          <w:rStyle w:val="FootnoteReference"/>
        </w:rPr>
        <w:footnoteRef/>
      </w:r>
      <w:r>
        <w:t xml:space="preserve">
          <w:r>
            <w:t xml:space="preserve">
              <w:r>
                <w:t xml:space="preserve"> Bullinger, </w:t>
              </w:r>
              <w:r>
                <w:rPr>
                  <w:i/>
                </w:rPr>
                <w:t xml:space="preserve">Figures of Speech</w:t>
              </w:r>
              <w:r>
                <w:t xml:space="preserve">, 819-20.</w:t>
              </w:r>
            </w:t>
          </w:r>
        </w:t>
      </w:r>
    </w:p>
  </w:footnote>
  <w:footnote w:id="13908">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564.</w:t>
              </w:r>
            </w:t>
          </w:r>
        </w:t>
      </w:r>
    </w:p>
  </w:footnote>
  <w:footnote w:id="20403">
    <w:p>
      <w:pPr>
        <w:pStyle w:val="FootnoteText"/>
      </w:pPr>
      <w:r>
        <w:rPr>
          <w:rStyle w:val="FootnoteReference"/>
        </w:rPr>
        <w:footnoteRef/>
      </w:r>
      <w:r>
        <w:t xml:space="preserve">
          <w:r>
            <w:t xml:space="preserve">
              <w:r>
                <w:t xml:space="preserve"> BDAG, s.v. πλοῦτος, 832.</w:t>
              </w:r>
            </w:t>
          </w:r>
        </w:t>
      </w:r>
    </w:p>
  </w:footnote>
  <w:footnote w:id="30262">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 s.v. “faith.”</w:t>
              </w:r>
            </w:t>
          </w:r>
        </w:t>
      </w:r>
    </w:p>
  </w:footnote>
  <w:footnote w:id="30047">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27105">
    <w:p>
      <w:pPr>
        <w:pStyle w:val="FootnoteText"/>
      </w:pPr>
      <w:r>
        <w:rPr>
          <w:rStyle w:val="FootnoteReference"/>
        </w:rPr>
        <w:footnoteRef/>
      </w:r>
      <w:r>
        <w:t xml:space="preserve">
          <w:r>
            <w:t xml:space="preserve">
              <w:r>
                <w:t xml:space="preserve"> Andrew T. Lincoln, </w:t>
              </w:r>
              <w:r>
                <w:rPr>
                  <w:i/>
                </w:rPr>
                <w:t xml:space="preserve">Ephesians</w:t>
              </w:r>
              <w:r>
                <w:t xml:space="preserve"> [WBC], 112.</w:t>
              </w:r>
            </w:t>
          </w:r>
        </w:t>
      </w:r>
    </w:p>
  </w:footnote>
  <w:footnote w:id="29525">
    <w:p>
      <w:pPr>
        <w:pStyle w:val="FootnoteText"/>
      </w:pPr>
      <w:r>
        <w:rPr>
          <w:rStyle w:val="FootnoteReference"/>
        </w:rPr>
        <w:footnoteRef/>
      </w:r>
      <w:r>
        <w:t xml:space="preserve">
          <w:r>
            <w:t xml:space="preserve">
              <w:r>
                <w:t xml:space="preserve"> A. T. Robertson, </w:t>
              </w:r>
              <w:r>
                <w:rPr>
                  <w:i/>
                </w:rPr>
                <w:t xml:space="preserve">Grammar of the Greek New Testament</w:t>
              </w:r>
              <w:r>
                <w:t xml:space="preserve">, 704.</w:t>
              </w:r>
            </w:t>
          </w:r>
        </w:t>
      </w:r>
    </w:p>
  </w:footnote>
  <w:footnote w:id="32019">
    <w:p>
      <w:pPr>
        <w:pStyle w:val="FootnoteText"/>
      </w:pPr>
      <w:r>
        <w:rPr>
          <w:rStyle w:val="FootnoteReference"/>
        </w:rPr>
        <w:footnoteRef/>
      </w:r>
      <w:r>
        <w:t xml:space="preserve">
          <w:r>
            <w:t xml:space="preserve">
              <w:r>
                <w:t xml:space="preserve"> Lenski, </w:t>
              </w:r>
              <w:r>
                <w:rPr>
                  <w:i/>
                </w:rPr>
                <w:t xml:space="preserve">St. Paul’s Epistle to the Ephesians</w:t>
              </w:r>
              <w:r>
                <w:t xml:space="preserve">, 423.</w:t>
              </w:r>
            </w:t>
          </w:r>
        </w:t>
      </w:r>
    </w:p>
  </w:footnote>
  <w:footnote w:id="11136">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4:525.</w:t>
              </w:r>
            </w:t>
          </w:r>
        </w:t>
      </w:r>
    </w:p>
  </w:footnote>
  <w:footnote w:id="13469">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2374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4:525.</w:t>
              </w:r>
            </w:t>
          </w:r>
        </w:t>
      </w:r>
    </w:p>
  </w:footnote>
  <w:footnote w:id="25133">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23725">
    <w:p>
      <w:pPr>
        <w:pStyle w:val="FootnoteText"/>
      </w:pPr>
      <w:r>
        <w:rPr>
          <w:rStyle w:val="FootnoteReference"/>
        </w:rPr>
        <w:footnoteRef/>
      </w:r>
      <w:r>
        <w:t xml:space="preserve">
          <w:r>
            <w:t xml:space="preserve">
              <w:r>
                <w:t xml:space="preserve"> Louw-Nida, </w:t>
              </w:r>
              <w:r>
                <w:rPr>
                  <w:i/>
                </w:rPr>
                <w:t xml:space="preserve">Greek-English Lexicon of the New Testament: Based on Semantic Domains</w:t>
              </w:r>
              <w:r>
                <w:t xml:space="preserve">, 34.39.</w:t>
              </w:r>
            </w:t>
          </w:r>
        </w:t>
      </w:r>
    </w:p>
  </w:footnote>
  <w:footnote w:id="10725">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[AYBC], (2008), 264.</w:t>
              </w:r>
            </w:t>
          </w:r>
        </w:t>
      </w:r>
    </w:p>
  </w:footnote>
  <w:footnote w:id="13050">
    <w:p>
      <w:pPr>
        <w:pStyle w:val="FootnoteText"/>
      </w:pPr>
      <w:r>
        <w:rPr>
          <w:rStyle w:val="FootnoteReference"/>
        </w:rPr>
        <w:footnoteRef/>
      </w:r>
      <w:r>
        <w:t xml:space="preserve">
          <w:r>
            <w:t xml:space="preserve">
              <w:r>
                <w:t xml:space="preserve"> Merkle, 73 [EGGNT].</w:t>
              </w:r>
            </w:t>
          </w:r>
        </w:t>
      </w:r>
    </w:p>
  </w:footnote>
  <w:footnote w:id="30020">
    <w:p>
      <w:pPr>
        <w:pStyle w:val="FootnoteText"/>
      </w:pPr>
      <w:r>
        <w:rPr>
          <w:rStyle w:val="FootnoteReference"/>
        </w:rPr>
        <w:footnoteRef/>
      </w:r>
      <w:r>
        <w:t xml:space="preserve">
          <w:r>
            <w:t xml:space="preserve">
              <w:r>
                <w:t xml:space="preserve"> Abbott 1897: 62; Hoehner 2002: 373.</w:t>
              </w:r>
            </w:t>
          </w:r>
        </w:t>
      </w:r>
    </w:p>
  </w:footnote>
  <w:footnote w:id="17648">
    <w:p>
      <w:pPr>
        <w:pStyle w:val="FootnoteText"/>
      </w:pPr>
      <w:r>
        <w:rPr>
          <w:rStyle w:val="FootnoteReference"/>
        </w:rPr>
        <w:footnoteRef/>
      </w:r>
      <w:r>
        <w:t xml:space="preserve">
          <w:r>
            <w:t xml:space="preserve">
              <w:r>
                <w:t xml:space="preserve"> E. K. Simpson and F. F. Bruce, </w:t>
              </w:r>
              <w:r>
                <w:rPr>
                  <w:i/>
                </w:rPr>
                <w:t xml:space="preserve">Ephesians and Colossians</w:t>
              </w:r>
              <w:r>
                <w:t xml:space="preserve"> [NICNT], 61n24.</w:t>
              </w:r>
            </w:t>
          </w:r>
        </w:t>
      </w:r>
    </w:p>
  </w:footnote>
  <w:footnote w:id="29489">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4:527.</w:t>
              </w:r>
            </w:t>
          </w:r>
        </w:t>
      </w:r>
    </w:p>
  </w:footnote>
  <w:footnote w:id="22341">
    <w:p>
      <w:pPr>
        <w:pStyle w:val="FootnoteText"/>
      </w:pPr>
      <w:r>
        <w:rPr>
          <w:rStyle w:val="FootnoteReference"/>
        </w:rPr>
        <w:footnoteRef/>
      </w:r>
      <w:r>
        <w:t xml:space="preserve">
          <w:r>
            <w:t xml:space="preserve">
              <w:r>
                <w:t xml:space="preserve"> Cf. Andrew T. Lincoln [WBC].</w:t>
              </w:r>
            </w:t>
          </w:r>
        </w:t>
      </w:r>
    </w:p>
  </w:footnote>
  <w:footnote w:id="14034">
    <w:p>
      <w:pPr>
        <w:pStyle w:val="FootnoteText"/>
      </w:pPr>
      <w:r>
        <w:rPr>
          <w:rStyle w:val="FootnoteReference"/>
        </w:rPr>
        <w:footnoteRef/>
      </w:r>
      <w:r>
        <w:t xml:space="preserve">
          <w:r>
            <w:t xml:space="preserve">
              <w:r>
                <w:t xml:space="preserve"> Cf. Bullinger; Vine.</w:t>
              </w:r>
            </w:t>
          </w:r>
        </w:t>
      </w:r>
    </w:p>
  </w:footnote>
  <w:footnote w:id="21264">
    <w:p>
      <w:pPr>
        <w:pStyle w:val="FootnoteText"/>
      </w:pPr>
      <w:r>
        <w:rPr>
          <w:rStyle w:val="FootnoteReference"/>
        </w:rPr>
        <w:footnoteRef/>
      </w:r>
      <w:r>
        <w:t xml:space="preserve">
          <w:r>
            <w:t xml:space="preserve">
              <w:r>
                <w:t xml:space="preserve"> Dana and Mantey, </w:t>
              </w:r>
              <w:r>
                <w:rPr>
                  <w:i/>
                </w:rPr>
                <w:t xml:space="preserve">A Manual Grammar of the Greek New Testament</w:t>
              </w:r>
              <w:r>
                <w:t xml:space="preserve">, 289.</w:t>
              </w:r>
            </w:t>
          </w:r>
        </w:t>
      </w:r>
    </w:p>
  </w:footnote>
  <w:footnote w:id="21237">
    <w:p>
      <w:pPr>
        <w:pStyle w:val="FootnoteText"/>
      </w:pPr>
      <w:r>
        <w:rPr>
          <w:rStyle w:val="FootnoteReference"/>
        </w:rPr>
        <w:footnoteRef/>
      </w:r>
      <w:r>
        <w:t xml:space="preserve">
          <w:r>
            <w:t xml:space="preserve">
              <w:r>
                <w:t xml:space="preserve"> Elwell, </w:t>
              </w:r>
              <w:r>
                <w:rPr>
                  <w:i/>
                </w:rPr>
                <w:t xml:space="preserve">Evangelical Dictionary of Theolog</w:t>
              </w:r>
              <w:r>
                <w:t xml:space="preserve">y, 280, 322..</w:t>
              </w:r>
            </w:t>
          </w:r>
        </w:t>
      </w:r>
    </w:p>
  </w:footnote>
  <w:footnote w:id="16198">
    <w:p>
      <w:pPr>
        <w:pStyle w:val="FootnoteText"/>
      </w:pPr>
      <w:r>
        <w:rPr>
          <w:rStyle w:val="FootnoteReference"/>
        </w:rPr>
        <w:footnoteRef/>
      </w:r>
      <w:r>
        <w:t xml:space="preserve">
          <w:r>
            <w:t xml:space="preserve">
              <w:r>
                <w:t xml:space="preserve"> Anstey,</w:t>
              </w:r>
              <w:r>
                <w:rPr>
                  <w:i/>
                </w:rPr>
                <w:t xml:space="preserve"> How to Master the Bible</w:t>
              </w:r>
              <w:r>
                <w:t xml:space="preserve">, 32.</w:t>
              </w:r>
            </w:t>
          </w:r>
        </w:t>
      </w:r>
    </w:p>
  </w:footnote>
  <w:footnote w:id="28974">
    <w:p>
      <w:pPr>
        <w:pStyle w:val="FootnoteText"/>
      </w:pPr>
      <w:r>
        <w:rPr>
          <w:rStyle w:val="FootnoteReference"/>
        </w:rPr>
        <w:footnoteRef/>
      </w:r>
      <w:r>
        <w:t xml:space="preserve">
          <w:r>
            <w:t xml:space="preserve">
              <w:r>
                <w:t xml:space="preserve"> Charles Ryrie, “Dispensation, Dispensationalism,” in Evangelical Dictionary of Theology[/em], ed. Walter A. Elwell, 322.</w:t>
              </w:r>
            </w:t>
          </w:r>
        </w:t>
      </w:r>
    </w:p>
  </w:footnote>
  <w:footnote w:id="32263">
    <w:p>
      <w:pPr>
        <w:pStyle w:val="FootnoteText"/>
      </w:pPr>
      <w:r>
        <w:rPr>
          <w:rStyle w:val="FootnoteReference"/>
        </w:rPr>
        <w:footnoteRef/>
      </w:r>
      <w:r>
        <w:t xml:space="preserve">
          <w:r>
            <w:t xml:space="preserve">
              <w:r>
                <w:t xml:space="preserve"> Louw and Nida </w:t>
              </w:r>
              <w:r>
                <w:rPr>
                  <w:i/>
                </w:rPr>
                <w:t xml:space="preserve">Greek-English Lexicon</w:t>
              </w:r>
              <w:r>
                <w:t xml:space="preserve">, s.v. “νοέω.”</w:t>
              </w:r>
            </w:t>
          </w:r>
        </w:t>
      </w:r>
    </w:p>
  </w:footnote>
  <w:footnote w:id="29914">
    <w:p>
      <w:pPr>
        <w:pStyle w:val="FootnoteText"/>
      </w:pPr>
      <w:r>
        <w:rPr>
          <w:rStyle w:val="FootnoteReference"/>
        </w:rPr>
        <w:footnoteRef/>
      </w:r>
      <w:r>
        <w:t xml:space="preserve">
          <w:r>
            <w:t xml:space="preserve">
              <w:r>
                <w:t xml:space="preserve"> Louw and Nida </w:t>
              </w:r>
              <w:r>
                <w:rPr>
                  <w:i/>
                </w:rPr>
                <w:t xml:space="preserve">Greek-English Lexicon</w:t>
              </w:r>
              <w:r>
                <w:t xml:space="preserve">, s.v. “σύνεσις.”</w:t>
              </w:r>
            </w:t>
          </w:r>
        </w:t>
      </w:r>
    </w:p>
  </w:footnote>
  <w:footnote w:id="23594">
    <w:p>
      <w:pPr>
        <w:pStyle w:val="FootnoteText"/>
      </w:pPr>
      <w:r>
        <w:rPr>
          <w:rStyle w:val="FootnoteReference"/>
        </w:rPr>
        <w:footnoteRef/>
      </w:r>
      <w:r>
        <w:t xml:space="preserve">
          <w:r>
            <w:t xml:space="preserve">
              <w:r>
                <w:t xml:space="preserve"> Spiros Zodhiates, </w:t>
              </w:r>
              <w:r>
                <w:rPr>
                  <w:i/>
                </w:rPr>
                <w:t xml:space="preserve">Complete Word Study Dictionary: New Testament</w:t>
              </w:r>
              <w:r>
                <w:t xml:space="preserve">, s.v. “understand,” no. 4907, “σύνεσις,” 1342.</w:t>
              </w:r>
            </w:t>
          </w:r>
        </w:t>
      </w:r>
    </w:p>
  </w:footnote>
  <w:footnote w:id="21873">
    <w:p>
      <w:pPr>
        <w:pStyle w:val="FootnoteText"/>
      </w:pPr>
      <w:r>
        <w:rPr>
          <w:rStyle w:val="FootnoteReference"/>
        </w:rPr>
        <w:footnoteRef/>
      </w:r>
      <w:r>
        <w:t xml:space="preserve">
          <w:r>
            <w:t xml:space="preserve">
              <w:r>
                <w:t xml:space="preserve"> Hoehner, </w:t>
              </w:r>
              <w:r>
                <w:rPr>
                  <w:i/>
                </w:rPr>
                <w:t xml:space="preserve">Ephesians: An Exegetical Commentary</w:t>
              </w:r>
              <w:r>
                <w:t xml:space="preserve">.</w:t>
              </w:r>
            </w:t>
          </w:r>
        </w:t>
      </w:r>
    </w:p>
  </w:footnote>
  <w:footnote w:id="18426">
    <w:p>
      <w:pPr>
        <w:pStyle w:val="FootnoteText"/>
      </w:pPr>
      <w:r>
        <w:rPr>
          <w:rStyle w:val="FootnoteReference"/>
        </w:rPr>
        <w:footnoteRef/>
      </w:r>
      <w:r>
        <w:t xml:space="preserve">
          <w:r>
            <w:t xml:space="preserve">
              <w:r>
                <w:t xml:space="preserve"> Cf. Friberg, </w:t>
              </w:r>
              <w:r>
                <w:rPr>
                  <w:i/>
                </w:rPr>
                <w:t xml:space="preserve">Analytical Lexicon</w:t>
              </w:r>
              <w:r>
                <w:t xml:space="preserve">; </w:t>
              </w:r>
              <w:r>
                <w:rPr>
                  <w:i/>
                </w:rPr>
                <w:t xml:space="preserve">Thayer’s Greek-English Lexicon</w:t>
              </w:r>
              <w:r>
                <w:t xml:space="preserve">; s.v. “ἀνεξιχνίαστος.”</w:t>
              </w:r>
            </w:t>
          </w:r>
        </w:t>
      </w:r>
    </w:p>
  </w:footnote>
  <w:footnote w:id="24353">
    <w:p>
      <w:pPr>
        <w:pStyle w:val="FootnoteText"/>
      </w:pPr>
      <w:r>
        <w:rPr>
          <w:rStyle w:val="FootnoteReference"/>
        </w:rPr>
        <w:footnoteRef/>
      </w:r>
      <w:r>
        <w:t xml:space="preserve">
          <w:r>
            <w:t xml:space="preserve">
              <w:r>
                <w:t xml:space="preserve"> A. T. Robertson, </w:t>
              </w:r>
              <w:r>
                <w:rPr>
                  <w:i/>
                </w:rPr>
                <w:t xml:space="preserve">Word Pictures</w:t>
              </w:r>
              <w:r>
                <w:t xml:space="preserve">, 4:531.</w:t>
              </w:r>
            </w:t>
          </w:r>
        </w:t>
      </w:r>
    </w:p>
  </w:footnote>
  <w:footnote w:id="29926">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603.</w:t>
              </w:r>
            </w:t>
          </w:r>
        </w:t>
      </w:r>
    </w:p>
  </w:footnote>
  <w:footnote w:id="13759">
    <w:p>
      <w:pPr>
        <w:pStyle w:val="FootnoteText"/>
      </w:pPr>
      <w:r>
        <w:rPr>
          <w:rStyle w:val="FootnoteReference"/>
        </w:rPr>
        <w:footnoteRef/>
      </w:r>
      <w:r>
        <w:t xml:space="preserve">
          <w:r>
            <w:t xml:space="preserve">
              <w:r>
                <w:t xml:space="preserve"> Cf. Metzger, </w:t>
              </w:r>
              <w:r>
                <w:rPr>
                  <w:i/>
                </w:rPr>
                <w:t xml:space="preserve">Textural Commentary</w:t>
              </w:r>
              <w:r>
                <w:t xml:space="preserve">, 603-604.</w:t>
              </w:r>
            </w:t>
          </w:r>
        </w:t>
      </w:r>
    </w:p>
  </w:footnote>
  <w:footnote w:id="27489">
    <w:p>
      <w:pPr>
        <w:pStyle w:val="FootnoteText"/>
      </w:pPr>
      <w:r>
        <w:rPr>
          <w:rStyle w:val="FootnoteReference"/>
        </w:rPr>
        <w:footnoteRef/>
      </w:r>
      <w:r>
        <w:t xml:space="preserve">
          <w:r>
            <w:t xml:space="preserve">
              <w:r>
                <w:t xml:space="preserve"> Louw and Nida, s.v. “πολυποίκιλος.”</w:t>
              </w:r>
            </w:t>
          </w:r>
        </w:t>
      </w:r>
    </w:p>
  </w:footnote>
  <w:footnote w:id="17004">
    <w:p>
      <w:pPr>
        <w:pStyle w:val="FootnoteText"/>
      </w:pPr>
      <w:r>
        <w:rPr>
          <w:rStyle w:val="FootnoteReference"/>
        </w:rPr>
        <w:footnoteRef/>
      </w:r>
      <w:r>
        <w:t xml:space="preserve">
          <w:r>
            <w:t xml:space="preserve">
              <w:r>
                <w:t xml:space="preserve"> Harold Hoehner, </w:t>
              </w:r>
              <w:r>
                <w:rPr>
                  <w:i/>
                </w:rPr>
                <w:t xml:space="preserve">Ephesians</w:t>
              </w:r>
              <w:r>
                <w:t xml:space="preserve">, 461.</w:t>
              </w:r>
            </w:t>
          </w:r>
        </w:t>
      </w:r>
    </w:p>
  </w:footnote>
  <w:footnote w:id="16962">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483.</w:t>
              </w:r>
            </w:t>
          </w:r>
        </w:t>
      </w:r>
    </w:p>
  </w:footnote>
  <w:footnote w:id="11712">
    <w:p>
      <w:pPr>
        <w:pStyle w:val="FootnoteText"/>
      </w:pPr>
      <w:r>
        <w:rPr>
          <w:rStyle w:val="FootnoteReference"/>
        </w:rPr>
        <w:footnoteRef/>
      </w:r>
      <w:r>
        <w:t xml:space="preserve">
          <w:r>
            <w:t xml:space="preserve">
              <w:r>
                <w:t xml:space="preserve"> Cf. Heinrich A. W. Meyer; Harold W. Hoehner.</w:t>
              </w:r>
            </w:t>
          </w:r>
        </w:t>
      </w:r>
    </w:p>
  </w:footnote>
  <w:footnote w:id="24257">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31152">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w:t>
              </w:r>
              <w:r>
                <w:rPr>
                  <w:i/>
                </w:rPr>
                <w:t xml:space="preserve"> “</w:t>
              </w:r>
              <w:r>
                <w:t xml:space="preserve">θεμελιόω.”</w:t>
              </w:r>
            </w:t>
          </w:r>
        </w:t>
      </w:r>
    </w:p>
  </w:footnote>
  <w:footnote w:id="14722">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10506">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86.</w:t>
              </w:r>
            </w:t>
          </w:r>
        </w:t>
      </w:r>
    </w:p>
  </w:footnote>
  <w:footnote w:id="14245">
    <w:p>
      <w:pPr>
        <w:pStyle w:val="FootnoteText"/>
      </w:pPr>
      <w:r>
        <w:rPr>
          <w:rStyle w:val="FootnoteReference"/>
        </w:rPr>
        <w:footnoteRef/>
      </w:r>
      <w:r>
        <w:t xml:space="preserve">
          <w:r>
            <w:t xml:space="preserve">
              <w:r>
                <w:t xml:space="preserve"> Hoehner, </w:t>
              </w:r>
              <w:r>
                <w:rPr>
                  <w:i/>
                </w:rPr>
                <w:t xml:space="preserve">Ephesians: An Exegetical Commentary</w:t>
              </w:r>
              <w:r>
                <w:t xml:space="preserve">; cf. also the NET translation.</w:t>
              </w:r>
            </w:t>
          </w:r>
        </w:t>
      </w:r>
    </w:p>
  </w:footnote>
  <w:footnote w:id="16303">
    <w:p>
      <w:pPr>
        <w:pStyle w:val="FootnoteText"/>
      </w:pPr>
      <w:r>
        <w:rPr>
          <w:rStyle w:val="FootnoteReference"/>
        </w:rPr>
        <w:footnoteRef/>
      </w:r>
      <w:r>
        <w:t xml:space="preserve">
          <w:r>
            <w:t xml:space="preserve">
              <w:r>
                <w:t xml:space="preserve"> Bullinger, </w:t>
              </w:r>
              <w:r>
                <w:rPr>
                  <w:i/>
                </w:rPr>
                <w:t xml:space="preserve">Companion Bible</w:t>
              </w:r>
              <w:r>
                <w:t xml:space="preserve">, “The Genitive Case,” Appendix 17.</w:t>
              </w:r>
            </w:t>
          </w:r>
        </w:t>
      </w:r>
    </w:p>
  </w:footnote>
  <w:footnote w:id="11237">
    <w:p>
      <w:pPr>
        <w:pStyle w:val="FootnoteText"/>
      </w:pPr>
      <w:r>
        <w:rPr>
          <w:rStyle w:val="FootnoteReference"/>
        </w:rPr>
        <w:footnoteRef/>
      </w:r>
      <w:r>
        <w:t xml:space="preserve">
          <w:r>
            <w:t xml:space="preserve">
              <w:r>
                <w:t xml:space="preserve"> David R. Anderson, </w:t>
              </w:r>
              <w:r>
                <w:rPr>
                  <w:i/>
                </w:rPr>
                <w:t xml:space="preserve">Position and Condition: An Exposition of the Book of Ephesians</w:t>
              </w:r>
              <w:r>
                <w:t xml:space="preserve">.</w:t>
              </w:r>
            </w:t>
          </w:r>
        </w:t>
      </w:r>
    </w:p>
  </w:footnote>
  <w:footnote w:id="17343">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105</w:t>
              </w:r>
            </w:t>
          </w:r>
        </w:t>
      </w:r>
    </w:p>
  </w:footnote>
  <w:footnote w:id="14734">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13799">
    <w:p>
      <w:pPr>
        <w:pStyle w:val="FootnoteText"/>
      </w:pPr>
      <w:r>
        <w:rPr>
          <w:rStyle w:val="FootnoteReference"/>
        </w:rPr>
        <w:footnoteRef/>
      </w:r>
      <w:r>
        <w:t xml:space="preserve">
          <w:r>
            <w:t xml:space="preserve">
              <w:r>
                <w:t xml:space="preserve"> BDAG, s.v. “ἐν,” 326.</w:t>
              </w:r>
            </w:t>
          </w:r>
        </w:t>
      </w:r>
    </w:p>
  </w:footnote>
  <w:footnote w:id="10013">
    <w:p>
      <w:pPr>
        <w:pStyle w:val="FootnoteText"/>
      </w:pPr>
      <w:r>
        <w:rPr>
          <w:rStyle w:val="FootnoteReference"/>
        </w:rPr>
        <w:footnoteRef/>
      </w:r>
      <w:r>
        <w:t xml:space="preserve">
          <w:r>
            <w:t xml:space="preserve">
              <w:r>
                <w:t xml:space="preserve"> Cf. John P. Lange, 7:141; William Hendriksen, </w:t>
              </w:r>
              <w:r>
                <w:rPr>
                  <w:i/>
                </w:rPr>
                <w:t xml:space="preserve">New Testament Commentary: Galatians and Ephesians</w:t>
              </w:r>
              <w:r>
                <w:t xml:space="preserve">, 186-87; Heinrich Meyer, 7:439.</w:t>
              </w:r>
            </w:t>
          </w:r>
        </w:t>
      </w:r>
    </w:p>
  </w:footnote>
  <w:footnote w:id="30435">
    <w:p>
      <w:pPr>
        <w:pStyle w:val="FootnoteText"/>
      </w:pPr>
      <w:r>
        <w:rPr>
          <w:rStyle w:val="FootnoteReference"/>
        </w:rPr>
        <w:footnoteRef/>
      </w:r>
      <w:r>
        <w:t xml:space="preserve">
          <w:r>
            <w:t xml:space="preserve">
              <w:r>
                <w:t xml:space="preserve"> Cf. Adam Clarke, </w:t>
              </w:r>
              <w:r>
                <w:rPr>
                  <w:i/>
                </w:rPr>
                <w:t xml:space="preserve">Clarke’s Commentary</w:t>
              </w:r>
              <w:r>
                <w:t xml:space="preserve">, 6:451; Benjamin L. Merkle,</w:t>
              </w:r>
              <w:r>
                <w:rPr>
                  <w:i/>
                </w:rPr>
                <w:t xml:space="preserve"> Ephesians</w:t>
              </w:r>
              <w:r>
                <w:t xml:space="preserve"> [EGGNT].</w:t>
              </w:r>
            </w:t>
          </w:r>
        </w:t>
      </w:r>
    </w:p>
  </w:footnote>
  <w:footnote w:id="27869">
    <w:p>
      <w:pPr>
        <w:pStyle w:val="FootnoteText"/>
      </w:pPr>
      <w:r>
        <w:rPr>
          <w:rStyle w:val="FootnoteReference"/>
        </w:rPr>
        <w:footnoteRef/>
      </w:r>
      <w:r>
        <w:t xml:space="preserve">
          <w:r>
            <w:t xml:space="preserve">
              <w:r>
                <w:t xml:space="preserve"> Cf. R. C. H. Lenski, </w:t>
              </w:r>
              <w:r>
                <w:rPr>
                  <w:i/>
                </w:rPr>
                <w:t xml:space="preserve">Ephesians</w:t>
              </w:r>
              <w:r>
                <w:t xml:space="preserve">, 513; Andrew T.  Lincoln [WBC].</w:t>
              </w:r>
            </w:t>
          </w:r>
        </w:t>
      </w:r>
    </w:p>
  </w:footnote>
  <w:footnote w:id="25328">
    <w:p>
      <w:pPr>
        <w:pStyle w:val="FootnoteText"/>
      </w:pPr>
      <w:r>
        <w:rPr>
          <w:rStyle w:val="FootnoteReference"/>
        </w:rPr>
        <w:footnoteRef/>
      </w:r>
      <w:r>
        <w:t xml:space="preserve">
          <w:r>
            <w:t xml:space="preserve">
              <w:r>
                <w:t xml:space="preserve"> Andrew T. Lincoln, </w:t>
              </w:r>
              <w:r>
                <w:rPr>
                  <w:i/>
                </w:rPr>
                <w:t xml:space="preserve">Ephesians</w:t>
              </w:r>
              <w:r>
                <w:t xml:space="preserve"> [WBC], 242.</w:t>
              </w:r>
            </w:t>
          </w:r>
        </w:t>
      </w:r>
    </w:p>
  </w:footnote>
  <w:footnote w:id="30886">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4-6</w:t>
              </w:r>
              <w:r>
                <w:t xml:space="preserve"> [AYB], 432.</w:t>
              </w:r>
            </w:t>
          </w:r>
        </w:t>
      </w:r>
    </w:p>
  </w:footnote>
  <w:footnote w:id="24886">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387.</w:t>
              </w:r>
            </w:t>
          </w:r>
        </w:t>
      </w:r>
    </w:p>
  </w:footnote>
  <w:footnote w:id="13093">
    <w:p>
      <w:pPr>
        <w:pStyle w:val="FootnoteText"/>
      </w:pPr>
      <w:r>
        <w:rPr>
          <w:rStyle w:val="FootnoteReference"/>
        </w:rPr>
        <w:footnoteRef/>
      </w:r>
      <w:r>
        <w:t xml:space="preserve">
          <w:r>
            <w:t xml:space="preserve">
              <w:r>
                <w:t xml:space="preserve"> T. K. Abbott, </w:t>
              </w:r>
              <w:r>
                <w:rPr>
                  <w:i/>
                </w:rPr>
                <w:t xml:space="preserve">Ephesians, Colossians</w:t>
              </w:r>
              <w:r>
                <w:t xml:space="preserve"> [ICC], 116.</w:t>
              </w:r>
            </w:t>
          </w:r>
        </w:t>
      </w:r>
    </w:p>
  </w:footnote>
  <w:footnote w:id="10880">
    <w:p>
      <w:pPr>
        <w:pStyle w:val="FootnoteText"/>
      </w:pPr>
      <w:r>
        <w:rPr>
          <w:rStyle w:val="FootnoteReference"/>
        </w:rPr>
        <w:footnoteRef/>
      </w:r>
      <w:r>
        <w:t xml:space="preserve">
          <w:r>
            <w:t xml:space="preserve">
              <w:r>
                <w:t xml:space="preserve"> </w:t>
              </w:r>
              <w:r>
                <w:rPr>
                  <w:i/>
                </w:rPr>
                <w:t xml:space="preserve">Meyer’s Commentary on the New Testament</w:t>
              </w:r>
              <w:r>
                <w:t xml:space="preserve">, 452-54.</w:t>
              </w:r>
            </w:t>
          </w:r>
        </w:t>
      </w:r>
    </w:p>
  </w:footnote>
  <w:footnote w:id="23230">
    <w:p>
      <w:pPr>
        <w:pStyle w:val="FootnoteText"/>
      </w:pPr>
      <w:r>
        <w:rPr>
          <w:rStyle w:val="FootnoteReference"/>
        </w:rPr>
        <w:footnoteRef/>
      </w:r>
      <w:r>
        <w:t xml:space="preserve">
          <w:r>
            <w:t xml:space="preserve">
              <w:r>
                <w:t xml:space="preserve"> Friberg, </w:t>
              </w:r>
              <w:r>
                <w:rPr>
                  <w:i/>
                </w:rPr>
                <w:t xml:space="preserve">Analytical Lexicon</w:t>
              </w:r>
              <w:r>
                <w:t xml:space="preserve">, s.v. “καταρτισμός,” 221.</w:t>
              </w:r>
            </w:t>
          </w:r>
        </w:t>
      </w:r>
    </w:p>
  </w:footnote>
  <w:footnote w:id="26292">
    <w:p>
      <w:pPr>
        <w:pStyle w:val="FootnoteText"/>
      </w:pPr>
      <w:r>
        <w:rPr>
          <w:rStyle w:val="FootnoteReference"/>
        </w:rPr>
        <w:footnoteRef/>
      </w:r>
      <w:r>
        <w:t xml:space="preserve">
          <w:r>
            <w:t xml:space="preserve">
              <w:r>
                <w:t xml:space="preserve"> H. Hoehner, </w:t>
              </w:r>
              <w:r>
                <w:rPr>
                  <w:i/>
                </w:rPr>
                <w:t xml:space="preserve">Ephesians: An Exegetical Commentary</w:t>
              </w:r>
              <w:r>
                <w:t xml:space="preserve">, 551.</w:t>
              </w:r>
            </w:t>
          </w:r>
        </w:t>
      </w:r>
    </w:p>
  </w:footnote>
  <w:footnote w:id="17576">
    <w:p>
      <w:pPr>
        <w:pStyle w:val="FootnoteText"/>
      </w:pPr>
      <w:r>
        <w:rPr>
          <w:rStyle w:val="FootnoteReference"/>
        </w:rPr>
        <w:footnoteRef/>
      </w:r>
      <w:r>
        <w:t xml:space="preserve">
          <w:r>
            <w:t xml:space="preserve">
              <w:r>
                <w:t xml:space="preserve"> BDAG, s.v. “μαρτύρομαι.”</w:t>
              </w:r>
            </w:t>
          </w:r>
        </w:t>
      </w:r>
    </w:p>
  </w:footnote>
  <w:footnote w:id="29931">
    <w:p>
      <w:pPr>
        <w:pStyle w:val="FootnoteText"/>
      </w:pPr>
      <w:r>
        <w:rPr>
          <w:rStyle w:val="FootnoteReference"/>
        </w:rPr>
        <w:footnoteRef/>
      </w:r>
      <w:r>
        <w:t xml:space="preserve">
          <w:r>
            <w:t xml:space="preserve">
              <w:r>
                <w:t xml:space="preserve"> BDAG, s.v. “πώρωσις.”</w:t>
              </w:r>
            </w:t>
          </w:r>
        </w:t>
      </w:r>
    </w:p>
  </w:footnote>
  <w:footnote w:id="10274">
    <w:p>
      <w:pPr>
        <w:pStyle w:val="FootnoteText"/>
      </w:pPr>
      <w:r>
        <w:rPr>
          <w:rStyle w:val="FootnoteReference"/>
        </w:rPr>
        <w:footnoteRef/>
      </w:r>
      <w:r>
        <w:t xml:space="preserve">
          <w:r>
            <w:t xml:space="preserve">
              <w:r>
                <w:t xml:space="preserve"> Louw and Nida, s.v. “ἀπαλγέω.”</w:t>
              </w:r>
            </w:t>
          </w:r>
        </w:t>
      </w:r>
    </w:p>
  </w:footnote>
  <w:footnote w:id="26174">
    <w:p>
      <w:pPr>
        <w:pStyle w:val="FootnoteText"/>
      </w:pPr>
      <w:r>
        <w:rPr>
          <w:rStyle w:val="FootnoteReference"/>
        </w:rPr>
        <w:footnoteRef/>
      </w:r>
      <w:r>
        <w:t xml:space="preserve">
          <w:r>
            <w:t xml:space="preserve">
              <w:r>
                <w:t xml:space="preserve"> BDAG, s.v. “ἐις”; “έργασία.”</w:t>
              </w:r>
            </w:t>
          </w:r>
        </w:t>
      </w:r>
    </w:p>
  </w:footnote>
  <w:footnote w:id="31292">
    <w:p>
      <w:pPr>
        <w:pStyle w:val="FootnoteText"/>
      </w:pPr>
      <w:r>
        <w:rPr>
          <w:rStyle w:val="FootnoteReference"/>
        </w:rPr>
        <w:footnoteRef/>
      </w:r>
      <w:r>
        <w:t xml:space="preserve">
          <w:r>
            <w:t xml:space="preserve">
              <w:r>
                <w:t xml:space="preserve"> BDAG, s.v. “ἀκαθαρσία.”</w:t>
              </w:r>
            </w:t>
          </w:r>
        </w:t>
      </w:r>
    </w:p>
  </w:footnote>
  <w:footnote w:id="22229">
    <w:p>
      <w:pPr>
        <w:pStyle w:val="FootnoteText"/>
      </w:pPr>
      <w:r>
        <w:rPr>
          <w:rStyle w:val="FootnoteReference"/>
        </w:rPr>
        <w:footnoteRef/>
      </w:r>
      <w:r>
        <w:t xml:space="preserve">
          <w:r>
            <w:t xml:space="preserve">
              <w:r>
                <w:t xml:space="preserve"> Thayer, s.v. “ἀκαθαρσία.”</w:t>
              </w:r>
            </w:t>
          </w:r>
        </w:t>
      </w:r>
    </w:p>
  </w:footnote>
  <w:footnote w:id="16065">
    <w:p>
      <w:pPr>
        <w:pStyle w:val="FootnoteText"/>
      </w:pPr>
      <w:r>
        <w:rPr>
          <w:rStyle w:val="FootnoteReference"/>
        </w:rPr>
        <w:footnoteRef/>
      </w:r>
      <w:r>
        <w:t xml:space="preserve">
          <w:r>
            <w:t xml:space="preserve">
              <w:r>
                <w:t xml:space="preserve"> BDAG </w:t>
              </w:r>
              <w:r>
                <w:rPr>
                  <w:i/>
                </w:rPr>
                <w:t xml:space="preserve">Greek-English Lexicon</w:t>
              </w:r>
              <w:r>
                <w:t xml:space="preserve">, s.v. “κατά.”</w:t>
              </w:r>
            </w:t>
          </w:r>
        </w:t>
      </w:r>
    </w:p>
  </w:footnote>
  <w:footnote w:id="24708">
    <w:p>
      <w:pPr>
        <w:pStyle w:val="FootnoteText"/>
      </w:pPr>
      <w:r>
        <w:rPr>
          <w:rStyle w:val="FootnoteReference"/>
        </w:rPr>
        <w:footnoteRef/>
      </w:r>
      <w:r>
        <w:t xml:space="preserve">
          <w:r>
            <w:t xml:space="preserve">
              <w:r>
                <w:t xml:space="preserve"> </w:t>
              </w:r>
              <w:r>
                <w:rPr>
                  <w:i/>
                </w:rPr>
                <w:t xml:space="preserve">Thayer’s Greek-English Lexicon</w:t>
              </w:r>
              <w:r>
                <w:t xml:space="preserve">, s.v. “κατά.”</w:t>
              </w:r>
            </w:t>
          </w:r>
        </w:t>
      </w:r>
    </w:p>
  </w:footnote>
  <w:footnote w:id="24128">
    <w:p>
      <w:pPr>
        <w:pStyle w:val="FootnoteText"/>
      </w:pPr>
      <w:r>
        <w:rPr>
          <w:rStyle w:val="FootnoteReference"/>
        </w:rPr>
        <w:footnoteRef/>
      </w:r>
      <w:r>
        <w:t xml:space="preserve">
          <w:r>
            <w:t xml:space="preserve">
              <w:r>
                <w:t xml:space="preserve"> Cf. Andrew T. Lincoln, </w:t>
              </w:r>
              <w:r>
                <w:rPr>
                  <w:i/>
                </w:rPr>
                <w:t xml:space="preserve">Ephesians</w:t>
              </w:r>
              <w:r>
                <w:t xml:space="preserve"> [WBC]; Lenski, </w:t>
              </w:r>
              <w:r>
                <w:rPr>
                  <w:i/>
                </w:rPr>
                <w:t xml:space="preserve">Ephesians</w:t>
              </w:r>
              <w:r>
                <w:t xml:space="preserve">, 569-70.</w:t>
              </w:r>
            </w:t>
          </w:r>
        </w:t>
      </w:r>
    </w:p>
  </w:footnote>
  <w:footnote w:id="28120">
    <w:p>
      <w:pPr>
        <w:pStyle w:val="FootnoteText"/>
      </w:pPr>
      <w:r>
        <w:rPr>
          <w:rStyle w:val="FootnoteReference"/>
        </w:rPr>
        <w:footnoteRef/>
      </w:r>
      <w:r>
        <w:t xml:space="preserve">
          <w:r>
            <w:t xml:space="preserve">
              <w:r>
                <w:t xml:space="preserve"> Merkle, </w:t>
              </w:r>
              <w:r>
                <w:rPr>
                  <w:i/>
                </w:rPr>
                <w:t xml:space="preserve">Ephesians</w:t>
              </w:r>
              <w:r>
                <w:t xml:space="preserve"> [EGGNT].</w:t>
              </w:r>
            </w:t>
          </w:r>
        </w:t>
      </w:r>
    </w:p>
  </w:footnote>
  <w:footnote w:id="10643">
    <w:p>
      <w:pPr>
        <w:pStyle w:val="FootnoteText"/>
      </w:pPr>
      <w:r>
        <w:rPr>
          <w:rStyle w:val="FootnoteReference"/>
        </w:rPr>
        <w:footnoteRef/>
      </w:r>
      <w:r>
        <w:t xml:space="preserve">
          <w:r>
            <w:t xml:space="preserve">
              <w:r>
                <w:t xml:space="preserve"> E. W. Bullinger, </w:t>
              </w:r>
              <w:r>
                <w:rPr>
                  <w:i/>
                </w:rPr>
                <w:t xml:space="preserve">Figures of Speech</w:t>
              </w:r>
              <w:r>
                <w:t xml:space="preserve">, 491-506, “antimereia.”</w:t>
              </w:r>
            </w:t>
          </w:r>
        </w:t>
      </w:r>
    </w:p>
  </w:footnote>
  <w:footnote w:id="13156">
    <w:p>
      <w:pPr>
        <w:pStyle w:val="FootnoteText"/>
      </w:pPr>
      <w:r>
        <w:rPr>
          <w:rStyle w:val="FootnoteReference"/>
        </w:rPr>
        <w:footnoteRef/>
      </w:r>
      <w:r>
        <w:t xml:space="preserve">
          <w:r>
            <w:t xml:space="preserve">
              <w:r>
                <w:t xml:space="preserve"> BDAG, s.v. “παροργισμός.”</w:t>
              </w:r>
            </w:t>
          </w:r>
        </w:t>
      </w:r>
    </w:p>
  </w:footnote>
  <w:footnote w:id="29061">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207, 218.</w:t>
              </w:r>
            </w:t>
          </w:r>
        </w:t>
      </w:r>
    </w:p>
  </w:footnote>
  <w:footnote w:id="20392">
    <w:p>
      <w:pPr>
        <w:pStyle w:val="FootnoteText"/>
      </w:pPr>
      <w:r>
        <w:rPr>
          <w:rStyle w:val="FootnoteReference"/>
        </w:rPr>
        <w:footnoteRef/>
      </w:r>
      <w:r>
        <w:t xml:space="preserve">
          <w:r>
            <w:t xml:space="preserve">
              <w:r>
                <w:t xml:space="preserve"> O’Brien, </w:t>
              </w:r>
              <w:r>
                <w:rPr>
                  <w:i/>
                </w:rPr>
                <w:t xml:space="preserve">The Letter to the Ephesians</w:t>
              </w:r>
              <w:r>
                <w:t xml:space="preserve">s [PNTC], 343.</w:t>
              </w:r>
            </w:t>
          </w:r>
        </w:t>
      </w:r>
    </w:p>
  </w:footnote>
  <w:footnote w:id="24659">
    <w:p>
      <w:pPr>
        <w:pStyle w:val="FootnoteText"/>
      </w:pPr>
      <w:r>
        <w:rPr>
          <w:rStyle w:val="FootnoteReference"/>
        </w:rPr>
        <w:footnoteRef/>
      </w:r>
      <w:r>
        <w:t xml:space="preserve">
          <w:r>
            <w:t xml:space="preserve">
              <w:r>
                <w:t xml:space="preserve"> Cf. Bratcher &amp;amp; Nida, </w:t>
              </w:r>
              <w:r>
                <w:rPr>
                  <w:i/>
                </w:rPr>
                <w:t xml:space="preserve">A Translator’s Handbook on Paul’s Letter to the Ephesians</w:t>
              </w:r>
              <w:r>
                <w:t xml:space="preserve">, 109, 118.</w:t>
              </w:r>
            </w:t>
          </w:r>
        </w:t>
      </w:r>
    </w:p>
  </w:footnote>
  <w:footnote w:id="27232">
    <w:p>
      <w:pPr>
        <w:pStyle w:val="FootnoteText"/>
      </w:pPr>
      <w:r>
        <w:rPr>
          <w:rStyle w:val="FootnoteReference"/>
        </w:rPr>
        <w:footnoteRef/>
      </w:r>
      <w:r>
        <w:t xml:space="preserve">
          <w:r>
            <w:t xml:space="preserve">
              <w:r>
                <w:t xml:space="preserve"> BDAG, s.v. “σαπρός.”</w:t>
              </w:r>
            </w:t>
          </w:r>
        </w:t>
      </w:r>
    </w:p>
  </w:footnote>
  <w:footnote w:id="32718">
    <w:p>
      <w:pPr>
        <w:pStyle w:val="FootnoteText"/>
      </w:pPr>
      <w:r>
        <w:rPr>
          <w:rStyle w:val="FootnoteReference"/>
        </w:rPr>
        <w:footnoteRef/>
      </w:r>
      <w:r>
        <w:t xml:space="preserve">
          <w:r>
            <w:t xml:space="preserve">
              <w:r>
                <w:t xml:space="preserve"> Wallace, </w:t>
              </w:r>
              <w:r>
                <w:rPr>
                  <w:i/>
                </w:rPr>
                <w:t xml:space="preserve">Greek Grammar Beyond the Basics</w:t>
              </w:r>
              <w:r>
                <w:t xml:space="preserve">, 164.</w:t>
              </w:r>
            </w:t>
          </w:r>
        </w:t>
      </w:r>
    </w:p>
  </w:footnote>
  <w:footnote w:id="31081">
    <w:p>
      <w:pPr>
        <w:pStyle w:val="FootnoteText"/>
      </w:pPr>
      <w:r>
        <w:rPr>
          <w:rStyle w:val="FootnoteReference"/>
        </w:rPr>
        <w:footnoteRef/>
      </w:r>
      <w:r>
        <w:t xml:space="preserve">
          <w:r>
            <w:t xml:space="preserve">
              <w:r>
                <w:t xml:space="preserve"> Wallace, </w:t>
              </w:r>
              <w:r>
                <w:rPr>
                  <w:i/>
                </w:rPr>
                <w:t xml:space="preserve">Greek Grammar Beyond the Basics</w:t>
              </w:r>
              <w:r>
                <w:t xml:space="preserve">, 373.</w:t>
              </w:r>
            </w:t>
          </w:r>
        </w:t>
      </w:r>
    </w:p>
  </w:footnote>
  <w:footnote w:id="31777">
    <w:p>
      <w:pPr>
        <w:pStyle w:val="FootnoteText"/>
      </w:pPr>
      <w:r>
        <w:rPr>
          <w:rStyle w:val="FootnoteReference"/>
        </w:rPr>
        <w:footnoteRef/>
      </w:r>
      <w:r>
        <w:t xml:space="preserve">
          <w:r>
            <w:t xml:space="preserve">
              <w:r>
                <w:t xml:space="preserve"> Hristina Byrnes, Health Editor, Epoch Health Premium Pics (for </w:t>
              </w:r>
              <w:r>
                <w:rPr>
                  <w:i/>
                </w:rPr>
                <w:t xml:space="preserve">Epoch Times</w:t>
              </w:r>
              <w:r>
                <w:t xml:space="preserve"> subscribers only), newsletter@epochtimes.com “Your Heart is Paying for the Grudge You’re Holding,” 12/03/2024.</w:t>
              </w:r>
            </w:t>
          </w:r>
        </w:t>
      </w:r>
    </w:p>
  </w:footnote>
  <w:footnote w:id="22478">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note on Col. 3:13.</w:t>
              </w:r>
            </w:t>
          </w:r>
        </w:t>
      </w:r>
    </w:p>
  </w:footnote>
  <w:footnote w:id="31501">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588.</w:t>
              </w:r>
            </w:t>
          </w:r>
        </w:t>
      </w:r>
    </w:p>
  </w:footnote>
  <w:footnote w:id="27519">
    <w:p>
      <w:pPr>
        <w:pStyle w:val="FootnoteText"/>
      </w:pPr>
      <w:r>
        <w:rPr>
          <w:rStyle w:val="FootnoteReference"/>
        </w:rPr>
        <w:footnoteRef/>
      </w:r>
      <w:r>
        <w:t xml:space="preserve">
          <w:r>
            <w:t xml:space="preserve">
              <w:r>
                <w:t xml:space="preserve"> Metzger, </w:t>
              </w:r>
              <w:r>
                <w:rPr>
                  <w:i/>
                </w:rPr>
                <w:t xml:space="preserve">Textual Commentary</w:t>
              </w:r>
              <w:r>
                <w:t xml:space="preserve">, 606.</w:t>
              </w:r>
            </w:t>
          </w:r>
        </w:t>
      </w:r>
    </w:p>
  </w:footnote>
  <w:footnote w:id="32147">
    <w:p>
      <w:pPr>
        <w:pStyle w:val="FootnoteText"/>
      </w:pPr>
      <w:r>
        <w:rPr>
          <w:rStyle w:val="FootnoteReference"/>
        </w:rPr>
        <w:footnoteRef/>
      </w:r>
      <w:r>
        <w:t xml:space="preserve">
          <w:r>
            <w:t xml:space="preserve">
              <w:r>
                <w:t xml:space="preserve"> E. K. Simpson and F. F. Bruce, </w:t>
              </w:r>
              <w:r>
                <w:rPr>
                  <w:i/>
                </w:rPr>
                <w:t xml:space="preserve">The Epistles to the Ephesians and Colossians</w:t>
              </w:r>
              <w:r>
                <w:t xml:space="preserve">, 74.</w:t>
              </w:r>
            </w:t>
          </w:r>
        </w:t>
      </w:r>
    </w:p>
  </w:footnote>
  <w:footnote w:id="27594">
    <w:p>
      <w:pPr>
        <w:pStyle w:val="FootnoteText"/>
      </w:pPr>
      <w:r>
        <w:rPr>
          <w:rStyle w:val="FootnoteReference"/>
        </w:rPr>
        <w:footnoteRef/>
      </w:r>
      <w:r>
        <w:t xml:space="preserve">
          <w:r>
            <w:t xml:space="preserve">
              <w:r>
                <w:t xml:space="preserve"> R. C. H. Lenski, </w:t>
              </w:r>
              <w:r>
                <w:rPr>
                  <w:i/>
                </w:rPr>
                <w:t xml:space="preserve">Interpretation of St. Matthew’s Gospel</w:t>
              </w:r>
              <w:r>
                <w:t xml:space="preserve">, 795.</w:t>
              </w:r>
            </w:t>
          </w:r>
        </w:t>
      </w:r>
    </w:p>
  </w:footnote>
  <w:footnote w:id="28376">
    <w:p>
      <w:pPr>
        <w:pStyle w:val="FootnoteText"/>
      </w:pPr>
      <w:r>
        <w:rPr>
          <w:rStyle w:val="FootnoteReference"/>
        </w:rPr>
        <w:footnoteRef/>
      </w:r>
      <w:r>
        <w:t xml:space="preserve">
          <w:r>
            <w:t xml:space="preserve">
              <w:r>
                <w:t xml:space="preserve"> Cf. CJB, Douay-Rheims, NAB, NIV, NLT, NRSV; the Syriac translations of Murdock and Magiera; cf. A. Lincoln, </w:t>
              </w:r>
              <w:r>
                <w:rPr>
                  <w:i/>
                </w:rPr>
                <w:t xml:space="preserve">Ephesians</w:t>
              </w:r>
              <w:r>
                <w:t xml:space="preserve"> [WBC]; M. MacDonald [SP]; and H. Hoehner, </w:t>
              </w:r>
              <w:r>
                <w:rPr>
                  <w:i/>
                </w:rPr>
                <w:t xml:space="preserve">Ephesians: An Exegetical Commentary</w:t>
              </w:r>
              <w:r>
                <w:t xml:space="preserve">, 654-55; See also, BDAG, s.v. “αἰσχρότης.”</w:t>
              </w:r>
            </w:t>
          </w:r>
        </w:t>
      </w:r>
    </w:p>
  </w:footnote>
  <w:footnote w:id="27322">
    <w:p>
      <w:pPr>
        <w:pStyle w:val="FootnoteText"/>
      </w:pPr>
      <w:r>
        <w:rPr>
          <w:rStyle w:val="FootnoteReference"/>
        </w:rPr>
        <w:footnoteRef/>
      </w:r>
      <w:r>
        <w:t xml:space="preserve">
          <w:r>
            <w:t xml:space="preserve">
              <w:r>
                <w:t xml:space="preserve"> see, for example, J. N. Adams, </w:t>
              </w:r>
              <w:r>
                <w:rPr>
                  <w:i/>
                </w:rPr>
                <w:t xml:space="preserve">The Latin Sexual Vocabulary</w:t>
              </w:r>
              <w:r>
                <w:t xml:space="preserve">.</w:t>
              </w:r>
            </w:t>
          </w:r>
        </w:t>
      </w:r>
    </w:p>
  </w:footnote>
  <w:footnote w:id="24825">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660.</w:t>
              </w:r>
            </w:t>
          </w:r>
        </w:t>
      </w:r>
    </w:p>
  </w:footnote>
  <w:footnote w:id="29438">
    <w:p>
      <w:pPr>
        <w:pStyle w:val="FootnoteText"/>
      </w:pPr>
      <w:r>
        <w:rPr>
          <w:rStyle w:val="FootnoteReference"/>
        </w:rPr>
        <w:footnoteRef/>
      </w:r>
      <w:r>
        <w:t xml:space="preserve">
          <w:r>
            <w:t xml:space="preserve">
              <w:r>
                <w:t xml:space="preserve"> C. Leslie Mitton, </w:t>
              </w:r>
              <w:r>
                <w:rPr>
                  <w:i/>
                </w:rPr>
                <w:t xml:space="preserve">Ephesians</w:t>
              </w:r>
              <w:r>
                <w:t xml:space="preserve">, New Century Bible Commentary, 180.</w:t>
              </w:r>
            </w:t>
          </w:r>
        </w:t>
      </w:r>
    </w:p>
  </w:footnote>
  <w:footnote w:id="21244">
    <w:p>
      <w:pPr>
        <w:pStyle w:val="FootnoteText"/>
      </w:pPr>
      <w:r>
        <w:rPr>
          <w:rStyle w:val="FootnoteReference"/>
        </w:rPr>
        <w:footnoteRef/>
      </w:r>
      <w:r>
        <w:t xml:space="preserve">
          <w:r>
            <w:t xml:space="preserve">
              <w:r>
                <w:t xml:space="preserve"> Peter T. O’Brien, </w:t>
              </w:r>
              <w:r>
                <w:rPr>
                  <w:i/>
                </w:rPr>
                <w:t xml:space="preserve">The Letter to the Ephesians </w:t>
              </w:r>
              <w:r>
                <w:t xml:space="preserve">[PNTC], 363.</w:t>
              </w:r>
            </w:t>
          </w:r>
        </w:t>
      </w:r>
    </w:p>
  </w:footnote>
  <w:footnote w:id="19512">
    <w:p>
      <w:pPr>
        <w:pStyle w:val="FootnoteText"/>
      </w:pPr>
      <w:r>
        <w:rPr>
          <w:rStyle w:val="FootnoteReference"/>
        </w:rPr>
        <w:footnoteRef/>
      </w:r>
      <w:r>
        <w:t xml:space="preserve">
          <w:r>
            <w:t xml:space="preserve">
              <w:r>
                <w:t xml:space="preserve"> See Bullinger, </w:t>
              </w:r>
              <w:r>
                <w:rPr>
                  <w:i/>
                </w:rPr>
                <w:t xml:space="preserve">Figures of Speech</w:t>
              </w:r>
              <w:r>
                <w:t xml:space="preserve">, 623, “synecdoche” (of the species).</w:t>
              </w:r>
            </w:t>
          </w:r>
        </w:t>
      </w:r>
    </w:p>
  </w:footnote>
  <w:footnote w:id="12377">
    <w:p>
      <w:pPr>
        <w:pStyle w:val="FootnoteText"/>
      </w:pPr>
      <w:r>
        <w:rPr>
          <w:rStyle w:val="FootnoteReference"/>
        </w:rPr>
        <w:footnoteRef/>
      </w:r>
      <w:r>
        <w:t xml:space="preserve">
          <w:r>
            <w:t xml:space="preserve">
              <w:r>
                <w:t xml:space="preserve"> Quoted in James D. G. Dunn, </w:t>
              </w:r>
              <w:r>
                <w:rPr>
                  <w:i/>
                </w:rPr>
                <w:t xml:space="preserve">Did the First Christians Worship Jesus</w:t>
              </w:r>
              <w:r>
                <w:t xml:space="preserve">? ebook, chapter 2.2 “Hymns.”</w:t>
              </w:r>
            </w:t>
          </w:r>
        </w:t>
      </w:r>
    </w:p>
  </w:footnote>
  <w:footnote w:id="11139">
    <w:p>
      <w:pPr>
        <w:pStyle w:val="FootnoteText"/>
      </w:pPr>
      <w:r>
        <w:rPr>
          <w:rStyle w:val="FootnoteReference"/>
        </w:rPr>
        <w:footnoteRef/>
      </w:r>
      <w:r>
        <w:t xml:space="preserve">
          <w:r>
            <w:t xml:space="preserve">
              <w:r>
                <w:t xml:space="preserve"> also in Dunn.</w:t>
              </w:r>
            </w:t>
          </w:r>
        </w:t>
      </w:r>
    </w:p>
  </w:footnote>
  <w:footnote w:id="21936">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544.</w:t>
              </w:r>
            </w:t>
          </w:r>
        </w:t>
      </w:r>
    </w:p>
  </w:footnote>
  <w:footnote w:id="30071">
    <w:p>
      <w:pPr>
        <w:pStyle w:val="FootnoteText"/>
      </w:pPr>
      <w:r>
        <w:rPr>
          <w:rStyle w:val="FootnoteReference"/>
        </w:rPr>
        <w:footnoteRef/>
      </w:r>
      <w:r>
        <w:t xml:space="preserve">
          <w:r>
            <w:t xml:space="preserve">
              <w:r>
                <w:t xml:space="preserve"> Lenski, </w:t>
              </w:r>
              <w:r>
                <w:rPr>
                  <w:i/>
                </w:rPr>
                <w:t xml:space="preserve">St. Paul’s Epistle to the Ephesians</w:t>
              </w:r>
              <w:r>
                <w:t xml:space="preserve">, 632.</w:t>
              </w:r>
            </w:t>
          </w:r>
        </w:t>
      </w:r>
    </w:p>
  </w:footnote>
  <w:footnote w:id="19737">
    <w:p>
      <w:pPr>
        <w:pStyle w:val="FootnoteText"/>
      </w:pPr>
      <w:r>
        <w:rPr>
          <w:rStyle w:val="FootnoteReference"/>
        </w:rPr>
        <w:footnoteRef/>
      </w:r>
      <w:r>
        <w:t xml:space="preserve">
          <w:r>
            <w:t xml:space="preserve">
              <w:r>
                <w:t xml:space="preserve"> See also John W. Schoenheit, </w:t>
              </w:r>
              <w:r>
                <w:rPr>
                  <w:i/>
                </w:rPr>
                <w:t xml:space="preserve">Baptism: The History and Doctrine of Christian Baptism</w:t>
              </w:r>
              <w:r>
                <w:t xml:space="preserve">.</w:t>
              </w:r>
            </w:t>
          </w:r>
        </w:t>
      </w:r>
    </w:p>
  </w:footnote>
  <w:footnote w:id="26067">
    <w:p>
      <w:pPr>
        <w:pStyle w:val="FootnoteText"/>
      </w:pPr>
      <w:r>
        <w:rPr>
          <w:rStyle w:val="FootnoteReference"/>
        </w:rPr>
        <w:footnoteRef/>
      </w:r>
      <w:r>
        <w:t xml:space="preserve">
          <w:r>
            <w:t xml:space="preserve">
              <w:r>
                <w:t xml:space="preserve"> Andrew T. Lincoln, </w:t>
              </w:r>
              <w:r>
                <w:rPr>
                  <w:i/>
                </w:rPr>
                <w:t xml:space="preserve">Ephesians</w:t>
              </w:r>
              <w:r>
                <w:t xml:space="preserve"> [WBC], 375. Also see T. K. Abbott, </w:t>
              </w:r>
              <w:r>
                <w:rPr>
                  <w:i/>
                </w:rPr>
                <w:t xml:space="preserve">The Epistles to the Ephesians and to the Colossians</w:t>
              </w:r>
              <w:r>
                <w:t xml:space="preserve"> [ICC], 168.</w:t>
              </w:r>
            </w:t>
          </w:r>
        </w:t>
      </w:r>
    </w:p>
  </w:footnote>
  <w:footnote w:id="29807">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562.</w:t>
              </w:r>
            </w:t>
          </w:r>
        </w:t>
      </w:r>
    </w:p>
  </w:footnote>
  <w:footnote w:id="26822">
    <w:p>
      <w:pPr>
        <w:pStyle w:val="FootnoteText"/>
      </w:pPr>
      <w:r>
        <w:rPr>
          <w:rStyle w:val="FootnoteReference"/>
        </w:rPr>
        <w:footnoteRef/>
      </w:r>
      <w:r>
        <w:t xml:space="preserve">
          <w:r>
            <w:t xml:space="preserve">
              <w:r>
                <w:t xml:space="preserve"> </w:t>
              </w:r>
              <w:r>
                <w:rPr>
                  <w:i/>
                </w:rPr>
                <w:t xml:space="preserve">Thayer’s Greek-English Lexicon</w:t>
              </w:r>
              <w:r>
                <w:t xml:space="preserve">, s.v. “προσκολλάω.”</w:t>
              </w:r>
            </w:t>
          </w:r>
        </w:t>
      </w:r>
    </w:p>
  </w:footnote>
  <w:footnote w:id="15508">
    <w:p>
      <w:pPr>
        <w:pStyle w:val="FootnoteText"/>
      </w:pPr>
      <w:r>
        <w:rPr>
          <w:rStyle w:val="FootnoteReference"/>
        </w:rPr>
        <w:footnoteRef/>
      </w:r>
      <w:r>
        <w:t xml:space="preserve">
          <w:r>
            <w:t xml:space="preserve">
              <w:r>
                <w:t xml:space="preserve"> BDAG </w:t>
              </w:r>
              <w:r>
                <w:rPr>
                  <w:i/>
                </w:rPr>
                <w:t xml:space="preserve">Greek-English Lexicon</w:t>
              </w:r>
              <w:r>
                <w:t xml:space="preserve">, s.v. “προσκολλάω.”</w:t>
              </w:r>
            </w:t>
          </w:r>
        </w:t>
      </w:r>
    </w:p>
  </w:footnote>
  <w:footnote w:id="13609">
    <w:p>
      <w:pPr>
        <w:pStyle w:val="FootnoteText"/>
      </w:pPr>
      <w:r>
        <w:rPr>
          <w:rStyle w:val="FootnoteReference"/>
        </w:rPr>
        <w:footnoteRef/>
      </w:r>
      <w:r>
        <w:t xml:space="preserve">
          <w:r>
            <w:t xml:space="preserve">
              <w:r>
                <w:t xml:space="preserve"> William Arndt et al. (BDAG), </w:t>
              </w:r>
              <w:r>
                <w:rPr>
                  <w:i/>
                </w:rPr>
                <w:t xml:space="preserve">A Greek-English Lexicon of the New Testament and Other Early Christian Literature</w:t>
              </w:r>
              <w:r>
                <w:t xml:space="preserve">, def. 2 (Chicago: University of Chicago Press, 2000), 662, s.v. “μυστήριον.”</w:t>
              </w:r>
            </w:t>
          </w:r>
        </w:t>
      </w:r>
    </w:p>
  </w:footnote>
  <w:footnote w:id="23612">
    <w:p>
      <w:pPr>
        <w:pStyle w:val="FootnoteText"/>
      </w:pPr>
      <w:r>
        <w:rPr>
          <w:rStyle w:val="FootnoteReference"/>
        </w:rPr>
        <w:footnoteRef/>
      </w:r>
      <w:r>
        <w:t xml:space="preserve">
          <w:r>
            <w:t xml:space="preserve">
              <w:r>
                <w:t xml:space="preserve"> </w:t>
              </w:r>
              <w:r>
                <w:rPr>
                  <w:i/>
                </w:rPr>
                <w:t xml:space="preserve">Thayer’s Greek-English Lexicon</w:t>
              </w:r>
              <w:r>
                <w:t xml:space="preserve">, s.v. “παιδεία.”</w:t>
              </w:r>
            </w:t>
          </w:r>
        </w:t>
      </w:r>
    </w:p>
  </w:footnote>
  <w:footnote w:id="23363">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“παιδεία.”</w:t>
              </w:r>
            </w:t>
          </w:r>
        </w:t>
      </w:r>
    </w:p>
  </w:footnote>
  <w:footnote w:id="13826">
    <w:p>
      <w:pPr>
        <w:pStyle w:val="FootnoteText"/>
      </w:pPr>
      <w:r>
        <w:rPr>
          <w:rStyle w:val="FootnoteReference"/>
        </w:rPr>
        <w:footnoteRef/>
      </w:r>
      <w:r>
        <w:t xml:space="preserve">
          <w:r>
            <w:t xml:space="preserve">
              <w:r>
                <w:t xml:space="preserve"> BDAG </w:t>
              </w:r>
              <w:r>
                <w:rPr>
                  <w:i/>
                </w:rPr>
                <w:t xml:space="preserve">Greek-English Lexicon</w:t>
              </w:r>
              <w:r>
                <w:t xml:space="preserve">, s.v. “νουθεσία.”</w:t>
              </w:r>
            </w:t>
          </w:r>
        </w:t>
      </w:r>
    </w:p>
  </w:footnote>
  <w:footnote w:id="12091">
    <w:p>
      <w:pPr>
        <w:pStyle w:val="FootnoteText"/>
      </w:pPr>
      <w:r>
        <w:rPr>
          <w:rStyle w:val="FootnoteReference"/>
        </w:rPr>
        <w:footnoteRef/>
      </w:r>
      <w:r>
        <w:t xml:space="preserve">
          <w:r>
            <w:t xml:space="preserve">
              <w:r>
                <w:t xml:space="preserve"> BDAG, s.v. “ὀφθαλμοδουλεία.”</w:t>
              </w:r>
            </w:t>
          </w:r>
        </w:t>
      </w:r>
    </w:p>
  </w:footnote>
  <w:footnote w:id="12858">
    <w:p>
      <w:pPr>
        <w:pStyle w:val="FootnoteText"/>
      </w:pPr>
      <w:r>
        <w:rPr>
          <w:rStyle w:val="FootnoteReference"/>
        </w:rPr>
        <w:footnoteRef/>
      </w:r>
      <w:r>
        <w:t xml:space="preserve">
          <w:r>
            <w:t xml:space="preserve">
              <w:r>
                <w:t xml:space="preserve"> Thomas Winger, </w:t>
              </w:r>
              <w:r>
                <w:rPr>
                  <w:i/>
                </w:rPr>
                <w:t xml:space="preserve">Ephesians</w:t>
              </w:r>
              <w:r>
                <w:t xml:space="preserve"> [ConcC].</w:t>
              </w:r>
            </w:t>
          </w:r>
        </w:t>
      </w:r>
    </w:p>
  </w:footnote>
  <w:footnote w:id="16233">
    <w:p>
      <w:pPr>
        <w:pStyle w:val="FootnoteText"/>
      </w:pPr>
      <w:r>
        <w:rPr>
          <w:rStyle w:val="FootnoteReference"/>
        </w:rPr>
        <w:footnoteRef/>
      </w:r>
      <w:r>
        <w:t xml:space="preserve">
          <w:r>
            <w:t xml:space="preserve">
              <w:r>
                <w:t xml:space="preserve"> Harold W. Hoehner, </w:t>
              </w:r>
              <w:r>
                <w:rPr>
                  <w:i/>
                </w:rPr>
                <w:t xml:space="preserve">Ephesians</w:t>
              </w:r>
              <w:r>
                <w:t xml:space="preserve">, 820.</w:t>
              </w:r>
            </w:t>
          </w:r>
        </w:t>
      </w:r>
    </w:p>
  </w:footnote>
  <w:footnote w:id="15833">
    <w:p>
      <w:pPr>
        <w:pStyle w:val="FootnoteText"/>
      </w:pPr>
      <w:r>
        <w:rPr>
          <w:rStyle w:val="FootnoteReference"/>
        </w:rPr>
        <w:footnoteRef/>
      </w:r>
      <w:r>
        <w:t xml:space="preserve">
          <w:r>
            <w:t xml:space="preserve">
              <w:r>
                <w:t xml:space="preserve"> Hoehner, </w:t>
              </w:r>
              <w:r>
                <w:rPr>
                  <w:i/>
                </w:rPr>
                <w:t xml:space="preserve">Ephesians</w:t>
              </w:r>
              <w:r>
                <w:t xml:space="preserve">, 821.</w:t>
              </w:r>
            </w:t>
          </w:r>
        </w:t>
      </w:r>
    </w:p>
  </w:footnote>
  <w:footnote w:id="28210">
    <w:p>
      <w:pPr>
        <w:pStyle w:val="FootnoteText"/>
      </w:pPr>
      <w:r>
        <w:rPr>
          <w:rStyle w:val="FootnoteReference"/>
        </w:rPr>
        <w:footnoteRef/>
      </w:r>
      <w:r>
        <w:t xml:space="preserve">
          <w:r>
            <w:t xml:space="preserve">
              <w:r>
                <w:t xml:space="preserve"> Cf. Harold Hoehner, </w:t>
              </w:r>
              <w:r>
                <w:rPr>
                  <w:i/>
                </w:rPr>
                <w:t xml:space="preserve">Ephesians</w:t>
              </w:r>
              <w:r>
                <w:t xml:space="preserve">, 825.</w:t>
              </w:r>
            </w:t>
          </w:r>
        </w:t>
      </w:r>
    </w:p>
  </w:footnote>
  <w:footnote w:id="10688">
    <w:p>
      <w:pPr>
        <w:pStyle w:val="FootnoteText"/>
      </w:pPr>
      <w:r>
        <w:rPr>
          <w:rStyle w:val="FootnoteReference"/>
        </w:rPr>
        <w:footnoteRef/>
      </w:r>
      <w:r>
        <w:t xml:space="preserve">
          <w:r>
            <w:t xml:space="preserve">
              <w:r>
                <w:t xml:space="preserve"> Cf. BDAG.</w:t>
              </w:r>
            </w:t>
          </w:r>
        </w:t>
      </w:r>
    </w:p>
  </w:footnote>
  <w:footnote w:id="32187">
    <w:p>
      <w:pPr>
        <w:pStyle w:val="FootnoteText"/>
      </w:pPr>
      <w:r>
        <w:rPr>
          <w:rStyle w:val="FootnoteReference"/>
        </w:rPr>
        <w:footnoteRef/>
      </w:r>
      <w:r>
        <w:t xml:space="preserve">
          <w:r>
            <w:t xml:space="preserve">
              <w:r>
                <w:t xml:space="preserve"> Andrew T. Lincoln, </w:t>
              </w:r>
              <w:r>
                <w:rPr>
                  <w:i/>
                </w:rPr>
                <w:t xml:space="preserve">Ephesians</w:t>
              </w:r>
              <w:r>
                <w:t xml:space="preserve"> [WBC], 444.</w:t>
              </w:r>
            </w:t>
          </w:r>
        </w:t>
      </w:r>
    </w:p>
  </w:footnote>
  <w:footnote w:id="28639">
    <w:p>
      <w:pPr>
        <w:pStyle w:val="FootnoteText"/>
      </w:pPr>
      <w:r>
        <w:rPr>
          <w:rStyle w:val="FootnoteReference"/>
        </w:rPr>
        <w:footnoteRef/>
      </w:r>
      <w:r>
        <w:t xml:space="preserve">
          <w:r>
            <w:t xml:space="preserve">
              <w:r>
                <w:t xml:space="preserve"> William F. Arndt, Frederick W. Danker, Walter Bauer, and F. Wilbur Gingrich, </w:t>
              </w:r>
              <w:r>
                <w:rPr>
                  <w:i/>
                </w:rPr>
                <w:t xml:space="preserve">A Greek-English Lexicon of the New Testament and Other Early Christian Literature</w:t>
              </w:r>
              <w:r>
                <w:t xml:space="preserve">, 3rd ed., 438.</w:t>
              </w:r>
            </w:t>
          </w:r>
        </w:t>
      </w:r>
    </w:p>
  </w:footnote>
  <w:footnote w:id="19617">
    <w:p>
      <w:pPr>
        <w:pStyle w:val="FootnoteText"/>
      </w:pPr>
      <w:r>
        <w:rPr>
          <w:rStyle w:val="FootnoteReference"/>
        </w:rPr>
        <w:footnoteRef/>
      </w:r>
      <w:r>
        <w:t xml:space="preserve">
          <w:r>
            <w:t xml:space="preserve">
              <w:r>
                <w:t xml:space="preserve"> John W. Schoenheit, </w:t>
              </w:r>
              <w:r>
                <w:rPr>
                  <w:i/>
                </w:rPr>
                <w:t xml:space="preserve">Righteousness: Every Christian’s Gift From God</w:t>
              </w:r>
              <w:r>
                <w:t xml:space="preserve">.</w:t>
              </w:r>
            </w:t>
          </w:r>
        </w:t>
      </w:r>
    </w:p>
  </w:footnote>
  <w:footnote w:id="18873">
    <w:p>
      <w:pPr>
        <w:pStyle w:val="FootnoteText"/>
      </w:pPr>
      <w:r>
        <w:rPr>
          <w:rStyle w:val="FootnoteReference"/>
        </w:rPr>
        <w:footnoteRef/>
      </w:r>
      <w:r>
        <w:t xml:space="preserve">
          <w:r>
            <w:t xml:space="preserve">
              <w:r>
                <w:t xml:space="preserve"> Robert G. Bratcher and Eugene A. Nida, </w:t>
              </w:r>
              <w:r>
                <w:rPr>
                  <w:i/>
                </w:rPr>
                <w:t xml:space="preserve">A Handbook on Paul’s Letter to the Ephesians</w:t>
              </w:r>
              <w:r>
                <w:t xml:space="preserve">, 161.</w:t>
              </w:r>
            </w:t>
          </w:r>
        </w:t>
      </w:r>
    </w:p>
  </w:footnote>
  <w:footnote w:id="26500">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599.</w:t>
              </w:r>
            </w:t>
          </w:r>
        </w:t>
      </w:r>
    </w:p>
  </w:footnote>
  <w:footnote w:id="20445">
    <w:p>
      <w:pPr>
        <w:pStyle w:val="FootnoteText"/>
      </w:pPr>
      <w:r>
        <w:rPr>
          <w:rStyle w:val="FootnoteReference"/>
        </w:rPr>
        <w:footnoteRef/>
      </w:r>
      <w:r>
        <w:t xml:space="preserve">
          <w:r>
            <w:t xml:space="preserve">
              <w:r>
                <w:t xml:space="preserve"> Andrew T. Lincoln, </w:t>
              </w:r>
              <w:r>
                <w:rPr>
                  <w:i/>
                </w:rPr>
                <w:t xml:space="preserve">Ephesians</w:t>
              </w:r>
              <w:r>
                <w:t xml:space="preserve"> [WBC], 448.</w:t>
              </w:r>
            </w:t>
          </w:r>
        </w:t>
      </w:r>
    </w:p>
  </w:footnote>
  <w:footnote w:id="16884">
    <w:p>
      <w:pPr>
        <w:pStyle w:val="FootnoteText"/>
      </w:pPr>
      <w:r>
        <w:rPr>
          <w:rStyle w:val="FootnoteReference"/>
        </w:rPr>
        <w:footnoteRef/>
      </w:r>
      <w:r>
        <w:t xml:space="preserve">
          <w:r>
            <w:t xml:space="preserve">
              <w:r>
                <w:t xml:space="preserve"> BDAG, s.v. “πονηρός.”</w:t>
              </w:r>
            </w:t>
          </w:r>
        </w:t>
      </w:r>
    </w:p>
  </w:footnote>
  <w:footnote w:id="28944">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3888">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t, 790-92.</w:t>
              </w:r>
            </w:t>
          </w:r>
        </w:t>
      </w:r>
    </w:p>
  </w:footnote>
  <w:footnote w:id="19249">
    <w:p>
      <w:pPr>
        <w:pStyle w:val="FootnoteText"/>
      </w:pPr>
      <w:r>
        <w:rPr>
          <w:rStyle w:val="FootnoteReference"/>
        </w:rPr>
        <w:footnoteRef/>
      </w:r>
      <w:r>
        <w:t xml:space="preserve">
          <w:r>
            <w:t xml:space="preserve">
              <w:r>
                <w:t xml:space="preserve"> Lenski, </w:t>
              </w:r>
              <w:r>
                <w:rPr>
                  <w:i/>
                </w:rPr>
                <w:t xml:space="preserve">Ephesians</w:t>
              </w:r>
              <w:r>
                <w:t xml:space="preserve">, 675.</w:t>
              </w:r>
            </w:t>
          </w:r>
        </w:t>
      </w:r>
    </w:p>
  </w:footnote>
  <w:footnote w:id="24634">
    <w:p>
      <w:pPr>
        <w:pStyle w:val="FootnoteText"/>
      </w:pPr>
      <w:r>
        <w:rPr>
          <w:rStyle w:val="FootnoteReference"/>
        </w:rPr>
        <w:footnoteRef/>
      </w:r>
      <w:r>
        <w:t xml:space="preserve">
          <w:r>
            <w:t xml:space="preserve">
              <w:r>
                <w:t xml:space="preserve"> O’Brien, </w:t>
              </w:r>
              <w:r>
                <w:rPr>
                  <w:i/>
                </w:rPr>
                <w:t xml:space="preserve">The Letter to the Ephesians</w:t>
              </w:r>
              <w:r>
                <w:t xml:space="preserve"> [PNTC], 484.</w:t>
              </w:r>
            </w:t>
          </w:r>
        </w:t>
      </w:r>
    </w:p>
  </w:footnote>
  <w:footnote w:id="22860">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280-82.</w:t>
              </w:r>
            </w:t>
          </w:r>
        </w:t>
      </w:r>
    </w:p>
  </w:footnote>
  <w:footnote w:id="27110">
    <w:p>
      <w:pPr>
        <w:pStyle w:val="FootnoteText"/>
      </w:pPr>
      <w:r>
        <w:rPr>
          <w:rStyle w:val="FootnoteReference"/>
        </w:rPr>
        <w:footnoteRef/>
      </w:r>
      <w:r>
        <w:t xml:space="preserve">
          <w:r>
            <w:t xml:space="preserve">
              <w:r>
                <w:t xml:space="preserve"> BDAG, 698.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695190">
    <w:multiLevelType w:val="hybridMultilevel"/>
    <w:lvl w:ilvl="0" w:tplc="23467777">
      <w:start w:val="1"/>
      <w:numFmt w:val="decimal"/>
      <w:lvlText w:val="%1."/>
      <w:lvlJc w:val="left"/>
      <w:pPr>
        <w:ind w:left="720" w:hanging="360"/>
      </w:pPr>
    </w:lvl>
    <w:lvl w:ilvl="1" w:tplc="23467777" w:tentative="1">
      <w:start w:val="1"/>
      <w:numFmt w:val="lowerLetter"/>
      <w:lvlText w:val="%2."/>
      <w:lvlJc w:val="left"/>
      <w:pPr>
        <w:ind w:left="1440" w:hanging="360"/>
      </w:pPr>
    </w:lvl>
    <w:lvl w:ilvl="2" w:tplc="23467777" w:tentative="1">
      <w:start w:val="1"/>
      <w:numFmt w:val="lowerRoman"/>
      <w:lvlText w:val="%3."/>
      <w:lvlJc w:val="right"/>
      <w:pPr>
        <w:ind w:left="2160" w:hanging="180"/>
      </w:pPr>
    </w:lvl>
    <w:lvl w:ilvl="3" w:tplc="23467777" w:tentative="1">
      <w:start w:val="1"/>
      <w:numFmt w:val="decimal"/>
      <w:lvlText w:val="%4."/>
      <w:lvlJc w:val="left"/>
      <w:pPr>
        <w:ind w:left="2880" w:hanging="360"/>
      </w:pPr>
    </w:lvl>
    <w:lvl w:ilvl="4" w:tplc="23467777" w:tentative="1">
      <w:start w:val="1"/>
      <w:numFmt w:val="lowerLetter"/>
      <w:lvlText w:val="%5."/>
      <w:lvlJc w:val="left"/>
      <w:pPr>
        <w:ind w:left="3600" w:hanging="360"/>
      </w:pPr>
    </w:lvl>
    <w:lvl w:ilvl="5" w:tplc="23467777" w:tentative="1">
      <w:start w:val="1"/>
      <w:numFmt w:val="lowerRoman"/>
      <w:lvlText w:val="%6."/>
      <w:lvlJc w:val="right"/>
      <w:pPr>
        <w:ind w:left="4320" w:hanging="180"/>
      </w:pPr>
    </w:lvl>
    <w:lvl w:ilvl="6" w:tplc="23467777" w:tentative="1">
      <w:start w:val="1"/>
      <w:numFmt w:val="decimal"/>
      <w:lvlText w:val="%7."/>
      <w:lvlJc w:val="left"/>
      <w:pPr>
        <w:ind w:left="5040" w:hanging="360"/>
      </w:pPr>
    </w:lvl>
    <w:lvl w:ilvl="7" w:tplc="23467777" w:tentative="1">
      <w:start w:val="1"/>
      <w:numFmt w:val="lowerLetter"/>
      <w:lvlText w:val="%8."/>
      <w:lvlJc w:val="left"/>
      <w:pPr>
        <w:ind w:left="5760" w:hanging="360"/>
      </w:pPr>
    </w:lvl>
    <w:lvl w:ilvl="8" w:tplc="23467777" w:tentative="1">
      <w:start w:val="1"/>
      <w:numFmt w:val="lowerRoman"/>
      <w:lvlText w:val="%9."/>
      <w:lvlJc w:val="right"/>
      <w:pPr>
        <w:ind w:left="6480" w:hanging="180"/>
      </w:pPr>
    </w:lvl>
  </w:abstractNum>
  <w:abstractNum w:abstractNumId="78695189">
    <w:multiLevelType w:val="hybridMultilevel"/>
    <w:lvl w:ilvl="0" w:tplc="80160857">
      <w:start w:val="1"/>
      <w:numFmt w:val="decimal"/>
      <w:lvlText w:val="%1."/>
      <w:lvlJc w:val="left"/>
      <w:pPr>
        <w:ind w:left="720" w:hanging="360"/>
      </w:pPr>
    </w:lvl>
    <w:lvl w:ilvl="1" w:tplc="80160857" w:tentative="1">
      <w:start w:val="1"/>
      <w:numFmt w:val="lowerLetter"/>
      <w:lvlText w:val="%2."/>
      <w:lvlJc w:val="left"/>
      <w:pPr>
        <w:ind w:left="1440" w:hanging="360"/>
      </w:pPr>
    </w:lvl>
    <w:lvl w:ilvl="2" w:tplc="80160857" w:tentative="1">
      <w:start w:val="1"/>
      <w:numFmt w:val="lowerRoman"/>
      <w:lvlText w:val="%3."/>
      <w:lvlJc w:val="right"/>
      <w:pPr>
        <w:ind w:left="2160" w:hanging="180"/>
      </w:pPr>
    </w:lvl>
    <w:lvl w:ilvl="3" w:tplc="80160857" w:tentative="1">
      <w:start w:val="1"/>
      <w:numFmt w:val="decimal"/>
      <w:lvlText w:val="%4."/>
      <w:lvlJc w:val="left"/>
      <w:pPr>
        <w:ind w:left="2880" w:hanging="360"/>
      </w:pPr>
    </w:lvl>
    <w:lvl w:ilvl="4" w:tplc="80160857" w:tentative="1">
      <w:start w:val="1"/>
      <w:numFmt w:val="lowerLetter"/>
      <w:lvlText w:val="%5."/>
      <w:lvlJc w:val="left"/>
      <w:pPr>
        <w:ind w:left="3600" w:hanging="360"/>
      </w:pPr>
    </w:lvl>
    <w:lvl w:ilvl="5" w:tplc="80160857" w:tentative="1">
      <w:start w:val="1"/>
      <w:numFmt w:val="lowerRoman"/>
      <w:lvlText w:val="%6."/>
      <w:lvlJc w:val="right"/>
      <w:pPr>
        <w:ind w:left="4320" w:hanging="180"/>
      </w:pPr>
    </w:lvl>
    <w:lvl w:ilvl="6" w:tplc="80160857" w:tentative="1">
      <w:start w:val="1"/>
      <w:numFmt w:val="decimal"/>
      <w:lvlText w:val="%7."/>
      <w:lvlJc w:val="left"/>
      <w:pPr>
        <w:ind w:left="5040" w:hanging="360"/>
      </w:pPr>
    </w:lvl>
    <w:lvl w:ilvl="7" w:tplc="80160857" w:tentative="1">
      <w:start w:val="1"/>
      <w:numFmt w:val="lowerLetter"/>
      <w:lvlText w:val="%8."/>
      <w:lvlJc w:val="left"/>
      <w:pPr>
        <w:ind w:left="5760" w:hanging="360"/>
      </w:pPr>
    </w:lvl>
    <w:lvl w:ilvl="8" w:tplc="80160857" w:tentative="1">
      <w:start w:val="1"/>
      <w:numFmt w:val="lowerRoman"/>
      <w:lvlText w:val="%9."/>
      <w:lvlJc w:val="right"/>
      <w:pPr>
        <w:ind w:left="6480" w:hanging="180"/>
      </w:pPr>
    </w:lvl>
  </w:abstractNum>
  <w:abstractNum w:abstractNumId="78695188">
    <w:multiLevelType w:val="hybridMultilevel"/>
    <w:lvl w:ilvl="0" w:tplc="41346789">
      <w:start w:val="1"/>
      <w:numFmt w:val="decimal"/>
      <w:lvlText w:val="%1."/>
      <w:lvlJc w:val="left"/>
      <w:pPr>
        <w:ind w:left="720" w:hanging="360"/>
      </w:pPr>
    </w:lvl>
    <w:lvl w:ilvl="1" w:tplc="41346789" w:tentative="1">
      <w:start w:val="1"/>
      <w:numFmt w:val="lowerLetter"/>
      <w:lvlText w:val="%2."/>
      <w:lvlJc w:val="left"/>
      <w:pPr>
        <w:ind w:left="1440" w:hanging="360"/>
      </w:pPr>
    </w:lvl>
    <w:lvl w:ilvl="2" w:tplc="41346789" w:tentative="1">
      <w:start w:val="1"/>
      <w:numFmt w:val="lowerRoman"/>
      <w:lvlText w:val="%3."/>
      <w:lvlJc w:val="right"/>
      <w:pPr>
        <w:ind w:left="2160" w:hanging="180"/>
      </w:pPr>
    </w:lvl>
    <w:lvl w:ilvl="3" w:tplc="41346789" w:tentative="1">
      <w:start w:val="1"/>
      <w:numFmt w:val="decimal"/>
      <w:lvlText w:val="%4."/>
      <w:lvlJc w:val="left"/>
      <w:pPr>
        <w:ind w:left="2880" w:hanging="360"/>
      </w:pPr>
    </w:lvl>
    <w:lvl w:ilvl="4" w:tplc="41346789" w:tentative="1">
      <w:start w:val="1"/>
      <w:numFmt w:val="lowerLetter"/>
      <w:lvlText w:val="%5."/>
      <w:lvlJc w:val="left"/>
      <w:pPr>
        <w:ind w:left="3600" w:hanging="360"/>
      </w:pPr>
    </w:lvl>
    <w:lvl w:ilvl="5" w:tplc="41346789" w:tentative="1">
      <w:start w:val="1"/>
      <w:numFmt w:val="lowerRoman"/>
      <w:lvlText w:val="%6."/>
      <w:lvlJc w:val="right"/>
      <w:pPr>
        <w:ind w:left="4320" w:hanging="180"/>
      </w:pPr>
    </w:lvl>
    <w:lvl w:ilvl="6" w:tplc="41346789" w:tentative="1">
      <w:start w:val="1"/>
      <w:numFmt w:val="decimal"/>
      <w:lvlText w:val="%7."/>
      <w:lvlJc w:val="left"/>
      <w:pPr>
        <w:ind w:left="5040" w:hanging="360"/>
      </w:pPr>
    </w:lvl>
    <w:lvl w:ilvl="7" w:tplc="41346789" w:tentative="1">
      <w:start w:val="1"/>
      <w:numFmt w:val="lowerLetter"/>
      <w:lvlText w:val="%8."/>
      <w:lvlJc w:val="left"/>
      <w:pPr>
        <w:ind w:left="5760" w:hanging="360"/>
      </w:pPr>
    </w:lvl>
    <w:lvl w:ilvl="8" w:tplc="41346789" w:tentative="1">
      <w:start w:val="1"/>
      <w:numFmt w:val="lowerRoman"/>
      <w:lvlText w:val="%9."/>
      <w:lvlJc w:val="right"/>
      <w:pPr>
        <w:ind w:left="6480" w:hanging="180"/>
      </w:pPr>
    </w:lvl>
  </w:abstractNum>
  <w:abstractNum w:abstractNumId="6947">
    <w:multiLevelType w:val="hybridMultilevel"/>
    <w:lvl w:ilvl="0" w:tplc="567258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47">
    <w:abstractNumId w:val="6947"/>
  </w:num>
  <w:num w:numId="78695188">
    <w:abstractNumId w:val="78695188"/>
  </w:num>
  <w:num w:numId="78695189">
    <w:abstractNumId w:val="78695189"/>
  </w:num>
  <w:num w:numId="78695190">
    <w:abstractNumId w:val="786951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8748948" Type="http://schemas.openxmlformats.org/officeDocument/2006/relationships/numbering" Target="numbering.xml"/><Relationship Id="rId982117779" Type="http://schemas.openxmlformats.org/officeDocument/2006/relationships/comments" Target="comments.xml"/><Relationship Id="rId989768680f571823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