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FootnoteReference"/>
        </w:rPr>
        <w:footnoteReference w:id="24891"/>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FootnoteReference"/>
        </w:rPr>
        <w:footnoteReference w:id="12068"/>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“Wasn’t Esau Jacob’s brother?”</w:t>
      </w:r>
      <w:r>
        <w:rPr/>
        <w:t xml:space="preserve"> God told Abraham that through Abraham all the clans of the earth would be blessed (Gen. 12:3). At that point Yahweh had to begin to make choices of which of Abraham’s descendants would be in the genealogy of the Messiah, the promised seed. Abraham had eight sons, and God chose Isaac. Isaac had two sons, and God chose Jacob. Jacob had 12 sons, and God chose Judah, and so it went, generation after generation. Part of God’s proof to Israel that he loved them is that he could have chosen Esau to be the one in the line of the Promised Seed, but He didn’t. He “loved” Jacob, and thus Israel.</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“I have hated.”</w:t>
      </w:r>
      <w:r>
        <w:rPr/>
        <w:t xml:space="preserve"> In Hebrew and Greek, the word “hate” has a large range of meanings from actual “hate” to simply loving something less than something else, neglecting or ignoring something, or being disgusted by something. Malachi 1:3 is an example where the word “hated” is used idiomatically for “loved less,” “disliked,” or “ignored.”</w:t>
      </w:r>
    </w:p>
    <w:p>
      <w:pPr>
        <w:pStyle w:val="rNormal"/>
        <w:widowControl w:val="on"/>
        <w:spacing w:before="240" w:after="240" w:line="240" w:lineRule="auto"/>
        <w:ind w:left="0" w:right="0"/>
        <w:jc w:val="left"/>
      </w:pPr>
      <w:r>
        <w:rPr/>
        <w:t xml:space="preserve">[For more information on “hate,” see commentary on Prov. 1:22.]</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1:4</w:t>
      </w:r>
    </w:p>
    <w:p>
      <w:pPr>
        <w:pStyle w:val="rNormal"/>
        <w:widowControl w:val="on"/>
        <w:spacing w:before="240" w:after="240" w:line="240" w:lineRule="auto"/>
        <w:ind w:left="0" w:right="0" w:firstLine="1"/>
        <w:jc w:val="left"/>
      </w:pPr>
      <w:r>
        <w:rPr>
          <w:b/>
          <w:bCs/>
        </w:rPr>
        <w:t xml:space="preserve">“They will build, but I will throw down.”</w:t>
      </w:r>
      <w:r>
        <w:rPr/>
        <w:t xml:space="preserve"> Human effort is of little result and little value if it is at cross-purposes with God. One of the great keys to success in this world is to discover the will of God and follow His lead, or at least do not do things that defy His will.</w:t>
      </w:r>
    </w:p>
    <w:p>
      <w:pPr>
        <w:pStyle w:val="rVersHead"/>
        <w:widowControl w:val="on"/>
      </w:pPr>
      <w:r>
        <w:rPr/>
        <w:t xml:space="preserve">Mal 1:5</w:t>
      </w:r>
    </w:p>
    <w:p>
      <w:pPr>
        <w:pStyle w:val="rNormal"/>
        <w:widowControl w:val="on"/>
        <w:spacing w:before="240" w:after="240" w:line="240" w:lineRule="auto"/>
        <w:ind w:left="0" w:right="0" w:firstLine="1"/>
        <w:jc w:val="left"/>
      </w:pPr>
      <w:r>
        <w:rPr>
          <w:b/>
          <w:bCs/>
        </w:rPr>
        <w:t xml:space="preserve">“even beyond the border of Israel.”</w:t>
      </w:r>
      <w:r>
        <w:rPr/>
        <w:t xml:space="preserve"> Yahweh was known as the God of Israel, but Yahweh’s greatness extends all over the earth, indeed, all over the universe. Yahweh’s greatness was not limited to the physical boundaries of the land of Israel. In this context, the example that proves that fact is that Yahweh’s influence extends “beyond the border of Israel” to the territory of Edom (Malachi 1:3-5).</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“master...master.”</w:t>
      </w:r>
      <w:r>
        <w:rPr/>
        <w:t xml:space="preserve"> The Hebrew is ʾadon (#0113 אָדוֹן, אָדֹן), Lord.</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“When you offer the blind for sacrifice, is that not evil?”</w:t>
      </w:r>
      <w:r>
        <w:rPr/>
        <w:t xml:space="preserve"> The Mosaic Law clearly stated that sacrifices had to be “without blemish” (cf. Lev. 1:3, 10; 3:1, 6; 4:3, 23; 5:15; 6:6).</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“so that you would not kindle </w:t>
      </w:r>
      <w:r>
        <w:rPr>
          <w:b/>
          <w:bCs/>
          <w:i/>
          <w:iCs/>
        </w:rPr>
        <w:t xml:space="preserve">a fire</w:t>
      </w:r>
      <w:r>
        <w:rPr>
          <w:b/>
          <w:bCs/>
        </w:rPr>
        <w:t xml:space="preserve"> on my altar.”</w:t>
      </w:r>
      <w:r>
        <w:rPr/>
        <w:t xml:space="preserve"> The meaning of this is not completely certain. It could be that “kindle a fire on my altar” referred to lighting a new fire on the altar after letting the old one go out—something that the priests were not supposed to do. Or, “kindle” could refer just to building up the fire that was already on the altar so that it had the heat energy to burn up a sacrifice.</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purpose—those ungodly offerings do not get a godly result.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This prophecy will be fulfilled when Christ is ruling the earth.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1:13</w:t>
      </w:r>
    </w:p>
    <w:p>
      <w:pPr>
        <w:pStyle w:val="rNormal"/>
        <w:widowControl w:val="on"/>
        <w:spacing w:before="240" w:after="240" w:line="240" w:lineRule="auto"/>
        <w:ind w:left="0" w:right="0" w:firstLine="1"/>
        <w:jc w:val="left"/>
      </w:pPr>
      <w:r>
        <w:rPr>
          <w:b/>
          <w:bCs/>
        </w:rPr>
        <w:t xml:space="preserve">“what a weariness it is!”</w:t>
      </w:r>
      <w:r>
        <w:rPr/>
        <w:t xml:space="preserve"> The priests were weary of doing the work that was required to run the Temple. The altar fire was to be kept burning every day and night all year long, sacrifices had to be made every day, etc., so there was a lot of work to do. But since the priests served in courses, that is, in rotation, no priest had to serve all year long day after day. The priests served one week twice each year, and then came to the Tabernacle to serve for all of the three major feasts: the Feast of Unleavened Bread, Pentecost, and the Feast of Tabernacles.</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seems likely to be the one in Deuteronomy 28:15-20 and following (see commentary on Deut. 28:20). Note that in Deuteronomy there is Curse, Confusion, and Rebuke,” and here in Malachi the priests and people are being disobedient and are under the curse (Mal. 2:2) and rebuke (Mal. 2:3). Some scholars feel “the curse” could be, for example, what God says in Malachi 1:10 when He says that He will not accept the sacrifices, but that seems less likely than the curse being the well-known one in Deuteronomy.</w:t>
      </w:r>
    </w:p>
    <w:p>
      <w:pPr>
        <w:pStyle w:val="rNormal"/>
        <w:widowControl w:val="on"/>
        <w:spacing w:before="240" w:after="240" w:line="240" w:lineRule="auto"/>
        <w:ind w:left="0" w:right="0" w:firstLine="1"/>
        <w:jc w:val="left"/>
      </w:pPr>
      <w:r>
        <w:rPr>
          <w:b/>
          <w:bCs/>
        </w:rPr>
        <w:t xml:space="preserve">“I have cursed them already.”</w:t>
      </w:r>
      <w:r>
        <w:rPr/>
        <w:t xml:space="preserve"> When people turn away from God, the consequences can begin to happen immediately, or it may be some time before the effects are noticeable. In this case, the priests had been turning away from God for years, and the curse that was the consequence of that had begun.</w:t>
      </w:r>
    </w:p>
    <w:p>
      <w:pPr>
        <w:pStyle w:val="rVersHead"/>
        <w:widowControl w:val="on"/>
      </w:pPr>
      <w:r>
        <w:rPr/>
        <w:t xml:space="preserve">Mal 2:3</w:t>
      </w:r>
    </w:p>
    <w:p>
      <w:pPr>
        <w:pStyle w:val="rNormal"/>
        <w:widowControl w:val="on"/>
        <w:spacing w:before="240" w:after="240" w:line="240" w:lineRule="auto"/>
        <w:ind w:left="0" w:right="0" w:firstLine="1"/>
        <w:jc w:val="left"/>
      </w:pPr>
      <w:r>
        <w:rPr>
          <w:b/>
          <w:bCs/>
        </w:rPr>
        <w:t xml:space="preserve">“I will rebuke your arm.”</w:t>
      </w:r>
      <w:r>
        <w:rPr/>
        <w:t xml:space="preserve"> The Masoretic Hebrew text reads “seed,” but that is disputed. The Septuagint and Vulgate both read “arm,” and the Hebrew text can be pointed that way. The priests used their arms to bless and to keep the rituals of the Temple, so God saying He would rebuke the arm of the priests means He would keep them from doing what they normally would do, but were snorting at. Translated as “arm,” the passage makes sense and has some congruence: God would cause the priestly blessings and work to cease, and haul the priests away with the ofal from the sacrifices. “The reference to ‘faces’ immediately following makes the reading ‘arm’ more probable.”</w:t>
      </w:r>
      <w:r>
        <w:rPr>
          <w:rStyle w:val="FootnoteReference"/>
        </w:rPr>
        <w:footnoteReference w:id="17547"/>
      </w:r>
      <w:r>
        <w:rPr/>
        <w:t xml:space="preserve"> The New Jerusalem Bible, Revised English Bible, and BBE read “arm.”</w:t>
      </w:r>
    </w:p>
    <w:p>
      <w:pPr>
        <w:pStyle w:val="rNormal"/>
        <w:widowControl w:val="on"/>
        <w:spacing w:before="240" w:after="240" w:line="240" w:lineRule="auto"/>
        <w:ind w:left="0" w:right="0"/>
        <w:jc w:val="left"/>
      </w:pPr>
      <w:r>
        <w:rPr/>
        <w:t xml:space="preserve">If the reading is “seed,” there is some dispute about the meaning of that. Although most scholars see “seed” as descendants, some see it as the produce of the land, literal seed.</w:t>
      </w:r>
      <w:r>
        <w:rPr>
          <w:rStyle w:val="FootnoteReference"/>
        </w:rPr>
        <w:footnoteReference w:id="15268"/>
      </w:r>
      <w:r>
        <w:rPr/>
        <w:t xml:space="preserve"> Since seed was used to make the flour for most of the different grain offerings used in Temple worship, God saying that He would rebuke the seed of the priests would leave them unable to offer many offerings, and would be a curse that would combine well with the dung in the next phrase that would make the priests unclean. If the “seed” referred to offspring or descendants, that would fit with a common use of “seed” but does not seem to fit the flow of thought very well. The priests had sinned, so why would God lead off with the fact that their descendants would be “rebuked.”</w:t>
      </w:r>
    </w:p>
    <w:p>
      <w:pPr>
        <w:pStyle w:val="rNormal"/>
        <w:widowControl w:val="on"/>
        <w:spacing w:before="240" w:after="240" w:line="240" w:lineRule="auto"/>
        <w:ind w:left="0" w:right="0" w:firstLine="1"/>
        <w:jc w:val="left"/>
      </w:pPr>
      <w:r>
        <w:rPr>
          <w:b/>
          <w:bCs/>
        </w:rPr>
        <w:t xml:space="preserve">“the dung of your feasts.”</w:t>
      </w:r>
      <w:r>
        <w:rPr/>
        <w:t xml:space="preserve"> The feasts were to honor God, but the priests dishonored them by their attitudes and actions. God would use His feasts to dishonor the priests and make them unclean and unable to serve.</w:t>
      </w:r>
    </w:p>
    <w:p>
      <w:pPr>
        <w:pStyle w:val="rNormal"/>
        <w:widowControl w:val="on"/>
        <w:spacing w:before="240" w:after="240" w:line="240" w:lineRule="auto"/>
        <w:ind w:left="0" w:right="0" w:firstLine="1"/>
        <w:jc w:val="left"/>
      </w:pPr>
      <w:r>
        <w:rPr>
          <w:b/>
          <w:bCs/>
        </w:rPr>
        <w:t xml:space="preserve">“and you will be taken away with it.”</w:t>
      </w:r>
      <w:r>
        <w:rPr/>
        <w:t xml:space="preserve"> Parts of the sacrifices that were not burned or eaten were taken outside of the camp and burned in a clean place (cf. Lev. 4:11-12). Traditionally this “clean place” was to the east of the camp, and at the time of Christ, the evidence points to that clean place being on the Mount of Olives, which adds to the evidence that Christ was crucified on the Mount of Olives (see commentary on Heb. 13:10).</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says that God made a covenant with “Levi” the man. In fact, He could not have, because in Exodus 19:6 it was God’s intent to make Israel “a kingdom of priests,” and by that time the man Levi was long dead. But Israel sinned, and so God ordained the Levites to serve Him (Exod. 32:29), which would have involved some kind of covenant. The Bible never explicitly says that God made a covenant with the Levites in the Book of Exodus, but it is implied (e.g. Exod. 32:29; Deut. 10:8-9). However, here in Malachi 2:4, we learn that God did make a covenant with the tribe of Levi, and the priests are all from the tribe of Levi, and direct descendants of Aaron, the first High Priest.</w:t>
      </w:r>
    </w:p>
    <w:p>
      <w:pPr>
        <w:pStyle w:val="rVersHead"/>
        <w:widowControl w:val="on"/>
      </w:pPr>
      <w:r>
        <w:rPr/>
        <w:t xml:space="preserve">Mal 2:5</w:t>
      </w:r>
    </w:p>
    <w:p>
      <w:pPr>
        <w:pStyle w:val="rNormal"/>
        <w:widowControl w:val="on"/>
        <w:spacing w:before="240" w:after="240" w:line="240" w:lineRule="auto"/>
        <w:ind w:left="0" w:right="0" w:firstLine="1"/>
        <w:jc w:val="left"/>
      </w:pPr>
      <w:r>
        <w:rPr>
          <w:b/>
          <w:bCs/>
        </w:rPr>
        <w:t xml:space="preserve">“My covenant with him...so he.”</w:t>
      </w:r>
      <w:r>
        <w:rPr/>
        <w:t xml:space="preserve"> Here God treats all the Levites as a whole, a group, a single unit. God often treats groups of people as one whole (cf. Exod. 32:17, 21).</w:t>
      </w:r>
    </w:p>
    <w:p>
      <w:pPr>
        <w:pStyle w:val="rNormal"/>
        <w:widowControl w:val="on"/>
        <w:spacing w:before="240" w:after="240" w:line="240" w:lineRule="auto"/>
        <w:ind w:left="0" w:right="0" w:firstLine="1"/>
        <w:jc w:val="left"/>
      </w:pPr>
      <w:r>
        <w:rPr>
          <w:b/>
          <w:bCs/>
        </w:rPr>
        <w:t xml:space="preserve">“I gave them so he would be reverent toward me.”</w:t>
      </w:r>
      <w:r>
        <w:rPr/>
        <w:t xml:space="preserve"> This is a very important verse because it points to why God expects people to obey Him. God wanted to fellowship with the human beings He created, but He wanted more than that, he wanted love and respect. God did not create people just so they could do their own thing, whatever they wanted. When He created people He desired life and peace for them in part “so ‘he’ (Levi; all the Levites) would be reverent toward me.”</w:t>
      </w:r>
    </w:p>
    <w:p>
      <w:pPr>
        <w:pStyle w:val="rNormal"/>
        <w:widowControl w:val="on"/>
        <w:spacing w:before="240" w:after="240" w:line="240" w:lineRule="auto"/>
        <w:ind w:left="0" w:right="0"/>
        <w:jc w:val="left"/>
      </w:pPr>
      <w:r>
        <w:rPr/>
        <w:t xml:space="preserve">This righteous expectation of love and respect is the basis for God’s judgment of all humans. He is the Creator, and also every human has an innate sense of right and wrong (Gen. 3:22). So every person should understand that he or she has an innate obligation to their Creator to love and reverence Him. Not to do that is rebellion and sin, and the wages of sin is death (Rom. 6:23). In the end, sinners who refuse to worship God are harmful to His creation and are destroyed (Rev. 20:11-15).</w:t>
      </w:r>
    </w:p>
    <w:p>
      <w:pPr>
        <w:pStyle w:val="rNormal"/>
        <w:widowControl w:val="on"/>
        <w:spacing w:before="240" w:after="240" w:line="240" w:lineRule="auto"/>
        <w:ind w:left="0" w:right="0" w:firstLine="1"/>
        <w:jc w:val="left"/>
      </w:pPr>
      <w:r>
        <w:rPr>
          <w:b/>
          <w:bCs/>
        </w:rPr>
        <w:t xml:space="preserve">“and stood in awe of my name.”</w:t>
      </w:r>
      <w:r>
        <w:rPr/>
        <w:t xml:space="preserve"> Here “my name” is equivalent to “me.”</w:t>
      </w:r>
    </w:p>
    <w:p>
      <w:pPr>
        <w:pStyle w:val="rVersHead"/>
        <w:widowControl w:val="on"/>
      </w:pPr>
      <w:r>
        <w:rPr/>
        <w:t xml:space="preserve">Mal 2:6</w:t>
      </w:r>
    </w:p>
    <w:p>
      <w:pPr>
        <w:pStyle w:val="rNormal"/>
        <w:widowControl w:val="on"/>
        <w:spacing w:before="240" w:after="240" w:line="240" w:lineRule="auto"/>
        <w:ind w:left="0" w:right="0" w:firstLine="1"/>
        <w:jc w:val="left"/>
      </w:pPr>
      <w:r>
        <w:rPr>
          <w:b/>
          <w:bCs/>
        </w:rPr>
        <w:t xml:space="preserve">“The law of truth...and unrighteousness was not found.”</w:t>
      </w:r>
      <w:r>
        <w:rPr/>
        <w:t xml:space="preserve"> Priests are to speak the truth and act righteously. Sadly, many of the priests in Israel’s history took bribes and told lies and lived sinful lives.</w:t>
      </w:r>
    </w:p>
    <w:p>
      <w:pPr>
        <w:pStyle w:val="rNormal"/>
        <w:widowControl w:val="on"/>
        <w:spacing w:before="240" w:after="240" w:line="240" w:lineRule="auto"/>
        <w:ind w:left="0" w:right="0" w:firstLine="1"/>
        <w:jc w:val="left"/>
      </w:pPr>
      <w:r>
        <w:rPr>
          <w:b/>
          <w:bCs/>
        </w:rPr>
        <w:t xml:space="preserve">“and turned many away from iniquity.”</w:t>
      </w:r>
      <w:r>
        <w:rPr/>
        <w:t xml:space="preserve"> When priests and Levites lived godly lives and taught people the Law of God, they turned many people from sin to living righteously. The priests were to be “teaching priests,” and study the Law and then teach it to the people (cf. Lev. 10:10-11; Deut. 24:8; Neh. 8:9; 2 Chron. 15:3).</w:t>
      </w:r>
    </w:p>
    <w:p>
      <w:pPr>
        <w:pStyle w:val="rNormal"/>
        <w:widowControl w:val="on"/>
        <w:spacing w:before="240" w:after="240" w:line="240" w:lineRule="auto"/>
        <w:ind w:left="0" w:right="0" w:firstLine="1"/>
        <w:jc w:val="left"/>
      </w:pPr>
      <w:r>
        <w:rPr>
          <w:b/>
          <w:bCs/>
        </w:rPr>
        <w:t xml:space="preserve">“and turned many away from iniquity.”</w:t>
      </w:r>
      <w:r>
        <w:rPr/>
        <w:t xml:space="preserve"> A good example is very powerful, and changes the lives of many who would otherwise have no example to follow and would give in to the natural desires of the flesh. People “who turn many to righteousness </w:t>
      </w:r>
      <w:r>
        <w:rPr>
          <w:i/>
          <w:iCs/>
        </w:rPr>
        <w:t xml:space="preserve">will shine</w:t>
      </w:r>
      <w:r>
        <w:rPr/>
        <w:t xml:space="preserve"> like the stars forever and ever” (Dan. 12:3).</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the priest’s lips should preserve knowledge.”</w:t>
      </w:r>
      <w:r>
        <w:rPr/>
        <w:t xml:space="preserve"> The priests in Israel were the ones God held primarily responsible for teaching the people the Law and preserving and promulgating the truth and value of God’s commands. Instead, through most of history, they were more concerned with enriching themselves and lording over the people (cf. Mic. 3:11).</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This is the only place in the Bible where priests are called “messengers” of Yahweh, but that is what they are and are supposed to be. The priests were to bring God’s words to the people and to speak for God.</w:t>
      </w:r>
    </w:p>
    <w:p>
      <w:pPr>
        <w:pStyle w:val="rNormal"/>
        <w:widowControl w:val="on"/>
        <w:spacing w:before="240" w:after="240" w:line="240" w:lineRule="auto"/>
        <w:ind w:left="0" w:right="0"/>
        <w:jc w:val="left"/>
      </w:pPr>
      <w:r>
        <w:rPr/>
        <w:t xml:space="preserve">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2:8</w:t>
      </w:r>
    </w:p>
    <w:p>
      <w:pPr>
        <w:pStyle w:val="rNormal"/>
        <w:widowControl w:val="on"/>
        <w:spacing w:before="240" w:after="240" w:line="240" w:lineRule="auto"/>
        <w:ind w:left="0" w:right="0" w:firstLine="1"/>
        <w:jc w:val="left"/>
      </w:pPr>
      <w:r>
        <w:rPr>
          <w:b/>
          <w:bCs/>
        </w:rPr>
        <w:t xml:space="preserve">“out of the </w:t>
      </w:r>
      <w:r>
        <w:rPr>
          <w:b/>
          <w:bCs/>
          <w:i/>
          <w:iCs/>
        </w:rPr>
        <w:t xml:space="preserve">right</w:t>
      </w:r>
      <w:r>
        <w:rPr>
          <w:b/>
          <w:bCs/>
        </w:rPr>
        <w:t xml:space="preserve"> road.”</w:t>
      </w:r>
      <w:r>
        <w:rPr/>
        <w:t xml:space="preserve"> In the idiom of the Bible, a person’s way of doing things or the direction of his or her life was called a “road” (often translated as a “way”). The idiom of a “road” is used many times in the Bible, especially in Proverbs. Proverbs speaks of the road of the righteous (e.g., Prov. 1:15; 2:20; 5:8; 6:23; 9:6; 10:29; 11:20; 12:29, etc.) and the road of the wicked (e.g., Prov. 2:13; 4:14, 19; 12:15, 26; 15:9, etc.). These priests had turned from God’s road to the road of the wicked.</w:t>
      </w:r>
    </w:p>
    <w:p>
      <w:pPr>
        <w:pStyle w:val="rNormal"/>
        <w:widowControl w:val="on"/>
        <w:spacing w:before="240" w:after="240" w:line="240" w:lineRule="auto"/>
        <w:ind w:left="0" w:right="0" w:firstLine="1"/>
        <w:jc w:val="left"/>
      </w:pPr>
      <w:r>
        <w:rPr>
          <w:b/>
          <w:bCs/>
        </w:rPr>
        <w:t xml:space="preserve">“by your instruction.”</w:t>
      </w:r>
      <w:r>
        <w:rPr/>
        <w:t xml:space="preserve"> The priests were to instruct people in the right ways of Yahweh, but they twisted and perverted the Law, like Eli’s sons did (1 Sam. 2:12-17, 22) and they taught in order to enrich themselves (Mic. 3:11).</w:t>
      </w:r>
    </w:p>
    <w:p>
      <w:pPr>
        <w:pStyle w:val="rNormal"/>
        <w:widowControl w:val="on"/>
        <w:spacing w:before="240" w:after="240" w:line="240" w:lineRule="auto"/>
        <w:ind w:left="0" w:right="0"/>
        <w:jc w:val="left"/>
      </w:pPr>
      <w:r>
        <w:rPr/>
        <w:t xml:space="preserve">The phrase “by your instruction” can also be translated as “in the Law,” and that also applies. The people stumbled in the Law because of the way it was (or wasn’t) taught, and they stumbled because of the instruction of the priests.</w:t>
      </w:r>
    </w:p>
    <w:p>
      <w:pPr>
        <w:pStyle w:val="rVersHead"/>
        <w:widowControl w:val="on"/>
      </w:pPr>
      <w:r>
        <w:rPr/>
        <w:t xml:space="preserve">Mal 2:9</w:t>
      </w:r>
    </w:p>
    <w:p>
      <w:pPr>
        <w:pStyle w:val="rNormal"/>
        <w:widowControl w:val="on"/>
        <w:spacing w:before="240" w:after="240" w:line="240" w:lineRule="auto"/>
        <w:ind w:left="0" w:right="0" w:firstLine="1"/>
        <w:jc w:val="left"/>
      </w:pPr>
      <w:r>
        <w:rPr>
          <w:b/>
          <w:bCs/>
        </w:rPr>
        <w:t xml:space="preserve">“I have made you contemptible.”</w:t>
      </w:r>
      <w:r>
        <w:rPr/>
        <w:t xml:space="preserve"> This is true, and it also carries a little of the prophetic perfect nuance, that God “will make” (future) the priests contemptible.</w:t>
      </w:r>
    </w:p>
    <w:p>
      <w:pPr>
        <w:pStyle w:val="rVersHead"/>
        <w:widowControl w:val="on"/>
      </w:pPr>
      <w:r>
        <w:rPr/>
        <w:t xml:space="preserve">Mal 2:10</w:t>
      </w:r>
    </w:p>
    <w:p>
      <w:pPr>
        <w:pStyle w:val="rNormal"/>
        <w:widowControl w:val="on"/>
        <w:spacing w:before="240" w:after="240" w:line="240" w:lineRule="auto"/>
        <w:ind w:left="0" w:right="0" w:firstLine="1"/>
        <w:jc w:val="left"/>
      </w:pPr>
      <w:r>
        <w:rPr>
          <w:b/>
          <w:bCs/>
        </w:rPr>
        <w:t xml:space="preserve">“Don’t we all have one father?”</w:t>
      </w:r>
      <w:r>
        <w:rPr/>
        <w:t xml:space="preserve"> The “father” is God. This becomes clear in the next phrase, “Hasn’t one God created us.” We would not think that God would mention Abraham (or Adam) first and Himself second. Our father is God, and we should behave like true children and act like our father acts. Christ said, “You are to be mature, as your heavenly father is mature” (Matt. 5:48).</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“Judah has dealt treacherously.”</w:t>
      </w:r>
      <w:r>
        <w:rPr/>
        <w:t xml:space="preserve"> This language reveals that the Judeans did not act righteously in their actions, but were treacherous and ungodly. Given Malachi 2:14, and God’s statement “I hate divorce” in Malachi 2:16, it seems that Judean men were using lame excuses for divorcing their wives to marry pagan women, that was certainly going on in this general time period (cf. Ezra 9:2; 10:18-44; Neh. 13:23-27).</w:t>
      </w:r>
    </w:p>
    <w:p>
      <w:pPr>
        <w:pStyle w:val="rNormal"/>
        <w:widowControl w:val="on"/>
        <w:spacing w:before="240" w:after="240" w:line="240" w:lineRule="auto"/>
        <w:ind w:left="0" w:right="0" w:firstLine="1"/>
        <w:jc w:val="left"/>
      </w:pPr>
      <w:r>
        <w:rPr>
          <w:b/>
          <w:bCs/>
        </w:rPr>
        <w:t xml:space="preserve">“the holy place of Yahweh.”</w:t>
      </w:r>
      <w:r>
        <w:rPr/>
        <w:t xml:space="preserve"> The Hebrew can “mean ‘holy place,’ ‘holy thing,’ ‘holy one,’ or ‘holiness.’ Here it probably refers to the holy place or temple.”</w:t>
      </w:r>
      <w:r>
        <w:rPr>
          <w:rStyle w:val="FootnoteReference"/>
        </w:rPr>
        <w:footnoteReference w:id="10161"/>
      </w:r>
      <w:r>
        <w:rPr/>
        <w:t xml:space="preserve"> That Judah defiled the holy place of Yahweh, the Temple, fits with Judah marrying the daughter of a foreign god.</w:t>
      </w:r>
    </w:p>
    <w:p>
      <w:pPr>
        <w:pStyle w:val="rNormal"/>
        <w:widowControl w:val="on"/>
        <w:spacing w:before="240" w:after="240" w:line="240" w:lineRule="auto"/>
        <w:ind w:left="0" w:right="0" w:firstLine="1"/>
        <w:jc w:val="left"/>
      </w:pPr>
      <w:r>
        <w:rPr>
          <w:b/>
          <w:bCs/>
        </w:rPr>
        <w:t xml:space="preserve">“the daughter of a foreign god.”</w:t>
      </w:r>
      <w:r>
        <w:rPr/>
        <w:t xml:space="preserve"> This phrase occurs only here in the Bible, and the meaning of the phrase is unclear and debated. It actually likely carries two meanings: the men were marrying pagan wives and the people were worshiping idols from foreign lands. Just as the Judeans were “children” (literally “sons” of Yahweh) the foreign women would be “daughters” of their foreign gods. The foreign idols would defile the Temple, God’s “holy place,” and so would bringing pagan wives into the Temple. There is little doubt that the phrase refers to the Judeans worshiping a pagan goddess or pagan goddesses, and that worship would defile the Temple. That kind of worship had been common in Israel for millennia, despite the efforts of some kings and godly priests and prophets to wipe it out. The “marriage” would involve a covenant, worship, sacrificial meals, and likely ritual sex.</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 Yahweh loves His Temple.</w:t>
      </w:r>
    </w:p>
    <w:p>
      <w:pPr>
        <w:pStyle w:val="rNormal"/>
        <w:widowControl w:val="on"/>
        <w:spacing w:before="240" w:after="240" w:line="240" w:lineRule="auto"/>
        <w:ind w:left="0" w:right="0"/>
        <w:jc w:val="left"/>
      </w:pPr>
      <w:r>
        <w:rPr/>
        <w:t xml:space="preserve">Yahweh does not love His Temple because He loves buildings. He loves His Temple because that is where the people that He loves gather to worship Him and to fellowship together. If people are not going to get together and fellowship and worship God in a godly fashion, then He is not pleased with the people and He does not want them in His Temple, His “house” (cf. Isa. 1:9-15).</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“cut off from the tents of Jacob.”</w:t>
      </w:r>
      <w:r>
        <w:rPr/>
        <w:t xml:space="preserve"> In this context, the “tents of Jacob” refers to the Israelite community. It does not clarify if this means the person is to be ejected from Israel or is to be executed. Technically, according to the Law of Moses, idolaters among the Israelites were to be executed (Deut. 13:6-11). But Israel had had many idolaters in their congregation for centuries and had not followed that law. However, although humans may not follow God’s law, on Judgment Day it seems God may well follow His law and not grant everlasting life to the idolaters in Israel.</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VersHead"/>
        <w:widowControl w:val="on"/>
      </w:pPr>
      <w:r>
        <w:rPr/>
        <w:t xml:space="preserve">Mal 2:17</w:t>
      </w:r>
    </w:p>
    <w:p>
      <w:pPr>
        <w:pStyle w:val="rNormal"/>
        <w:widowControl w:val="on"/>
        <w:spacing w:before="240" w:after="240" w:line="240" w:lineRule="auto"/>
        <w:ind w:left="0" w:right="0" w:firstLine="1"/>
        <w:jc w:val="left"/>
      </w:pPr>
      <w:r>
        <w:rPr>
          <w:b/>
          <w:bCs/>
        </w:rPr>
        <w:t xml:space="preserve">“Everyone who does evil is good in the eyes of Yahweh.”</w:t>
      </w:r>
      <w:r>
        <w:rPr/>
        <w:t xml:space="preserve"> As perverted as this statement is, we can see why some people would say it. Judah had been through rough times. The Babylonians had sacked Jerusalem, burned the Temple, and taken many people captive. In fact, history shows us that more people stayed in Babylon even though they could go back to Judah than those Jews who went back to Judah. The Persians had conquered Babylon and there was more carnage at that time. Yet those “victors” were the pagans, while the people of Yahweh were the victims. Of course we can understand why; the Judeans were sinning in many ways. But they did not blame themselves for the destruction that came upon them, they just thought that evil people (the pagan victors) must be the ones who are “good” in the eyes of God.</w:t>
      </w:r>
    </w:p>
    <w:p>
      <w:pPr>
        <w:pStyle w:val="rNormal"/>
        <w:widowControl w:val="on"/>
        <w:spacing w:before="240" w:after="240" w:line="240" w:lineRule="auto"/>
        <w:ind w:left="0" w:right="0" w:firstLine="1"/>
        <w:jc w:val="left"/>
      </w:pPr>
      <w:r>
        <w:rPr>
          <w:b/>
          <w:bCs/>
        </w:rPr>
        <w:t xml:space="preserve">“Where is the God of justice.”</w:t>
      </w:r>
      <w:r>
        <w:rPr/>
        <w:t xml:space="preserve"> The God of justice is right there for Israel if the nation obeys God. But when the Judeans abandon God, He cannot help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a road before me.”</w:t>
      </w:r>
      <w:r>
        <w:rPr/>
        <w:t xml:space="preserve"> This phrase in Malachi 3:1 is quoted in Matthew 11:10; Mark 1:2; and Luke 7:27, and in Matthew and Luke, Jesus identifies this “messenger” as John the Baptist.</w:t>
      </w:r>
    </w:p>
    <w:p>
      <w:pPr>
        <w:pStyle w:val="rNormal"/>
        <w:widowControl w:val="on"/>
        <w:spacing w:before="240" w:after="240" w:line="240" w:lineRule="auto"/>
        <w:ind w:left="0" w:right="0"/>
        <w:jc w:val="left"/>
      </w:pPr>
      <w:r>
        <w:rPr/>
        <w:t xml:space="preserve">The Hebrew participle translated as “I am sending” indicates that this messenger was going to come soon or had even started to come. As it turned out, John the Baptist did not come on the scene for some 400 years. The Bible regularly says something will happen soon when it then is delayed by hundreds or even thousands of years.</w:t>
      </w:r>
    </w:p>
    <w:p>
      <w:pPr>
        <w:pStyle w:val="rNormal"/>
        <w:widowControl w:val="on"/>
        <w:spacing w:before="240" w:after="240" w:line="240" w:lineRule="auto"/>
        <w:ind w:left="0" w:right="0" w:firstLine="1"/>
        <w:jc w:val="left"/>
      </w:pPr>
      <w:r>
        <w:rPr>
          <w:b/>
          <w:bCs/>
        </w:rPr>
        <w:t xml:space="preserve">“Prepare a road.”</w:t>
      </w:r>
      <w:r>
        <w:rPr/>
        <w:t xml:space="preserve"> This is the same Hebrew phrase that was used hundreds of years earlier by Isaiah (Isa. 40:3).</w:t>
      </w:r>
    </w:p>
    <w:p>
      <w:pPr>
        <w:pStyle w:val="rNormal"/>
        <w:widowControl w:val="on"/>
        <w:spacing w:before="240" w:after="240" w:line="240" w:lineRule="auto"/>
        <w:ind w:left="0" w:right="0" w:firstLine="1"/>
        <w:jc w:val="left"/>
      </w:pPr>
      <w:r>
        <w:rPr>
          <w:b/>
          <w:bCs/>
        </w:rPr>
        <w:t xml:space="preserve">“the Lord whom you seek.”</w:t>
      </w:r>
      <w:r>
        <w:rPr/>
        <w:t xml:space="preserve"> The Lord whom the people looked to for deliverance from their enemies was the promised Messiah.</w:t>
      </w:r>
    </w:p>
    <w:p>
      <w:pPr>
        <w:pStyle w:val="rNormal"/>
        <w:widowControl w:val="on"/>
        <w:spacing w:before="240" w:after="240" w:line="240" w:lineRule="auto"/>
        <w:ind w:left="0" w:right="0" w:firstLine="1"/>
        <w:jc w:val="left"/>
      </w:pPr>
      <w:r>
        <w:rPr>
          <w:b/>
          <w:bCs/>
        </w:rPr>
        <w:t xml:space="preserve">“suddenly.”</w:t>
      </w:r>
      <w:r>
        <w:rPr/>
        <w:t xml:space="preserve"> We know from the history of the first coming of the Lord Jesus Christ and the prophecies of his second coming that “suddenly” means “suddenly and unexpectedly.”</w:t>
      </w:r>
    </w:p>
    <w:p>
      <w:pPr>
        <w:pStyle w:val="rNormal"/>
        <w:widowControl w:val="on"/>
        <w:spacing w:before="240" w:after="240" w:line="240" w:lineRule="auto"/>
        <w:ind w:left="0" w:right="0"/>
        <w:jc w:val="left"/>
      </w:pPr>
      <w:r>
        <w:rPr/>
        <w:t xml:space="preserve">When reading prophecies like the ones of Jesus Christ in Malachi chapter three it is important to remember that very few people at the time of Malachi realized that there were going to be two comings, the first when he would die and the second when he would conquer. Most people believed the Messiah would come, conquer the earth, and reign from Jerusalem. That is clearly portrayed in the prophecies of Malachi (e.g., Mal. 3:1-3). By the time of Christ, some rabbis were teaching that there would be two separate messiahs, whom they called “Messiah ben Joseph,” who would suffer, and “Messiah ben David,” who would conquer the earth (see commentary on Matt. 11:3 and commentary on Isa. 61:2).</w:t>
      </w:r>
    </w:p>
    <w:p>
      <w:pPr>
        <w:pStyle w:val="rNormal"/>
        <w:widowControl w:val="on"/>
        <w:spacing w:before="240" w:after="240" w:line="240" w:lineRule="auto"/>
        <w:ind w:left="0" w:right="0" w:firstLine="1"/>
        <w:jc w:val="left"/>
      </w:pPr>
      <w:r>
        <w:rPr>
          <w:b/>
          <w:bCs/>
        </w:rPr>
        <w:t xml:space="preserve">“the messenger of the covenant.”</w:t>
      </w:r>
      <w:r>
        <w:rPr/>
        <w:t xml:space="preserve"> Conservative Christian scholars take this messenger to be John the Baptist, the same as the “messenger” earlier in the verse.</w:t>
      </w:r>
      <w:r>
        <w:rPr>
          <w:rStyle w:val="FootnoteReference"/>
        </w:rPr>
        <w:footnoteReference w:id="30464"/>
      </w:r>
      <w:r>
        <w:rPr/>
        <w:t xml:space="preserve"> The covenant is the “Old Covenant,” the covenant made between Yahweh and Israel on Mount Sinai in Exodus 24:3-8. John the Baptist is called the messenger of the covenant because he called the people back to lifestyle and rules and regulations that were in the Law (cf. Matt. 3:2-3, 8; Mark 1:1-5; Luke 3:3-14).</w:t>
      </w:r>
    </w:p>
    <w:p>
      <w:pPr>
        <w:pStyle w:val="rNormal"/>
        <w:widowControl w:val="on"/>
        <w:spacing w:before="240" w:after="240" w:line="240" w:lineRule="auto"/>
        <w:ind w:left="0" w:right="0" w:firstLine="1"/>
        <w:jc w:val="left"/>
      </w:pPr>
      <w:r>
        <w:rPr>
          <w:b/>
          <w:bCs/>
        </w:rPr>
        <w:t xml:space="preserve">“whom you desire.”</w:t>
      </w:r>
      <w:r>
        <w:rPr/>
        <w:t xml:space="preserve"> The people were looking forward to the forerunner of the Messiah coming, because he would be quickly followed by the Messiah. However, there is a kind of sad irony in the phrase “whom you desire,” because so many of the people were sinners but excused/ignored/explained away their sin. They worshiped idols and ignored the laws of God all the while thinking they were pleasing God. The same was true in the days of Amos, and Amos said, “Woe to you who long for the Day of Yahweh” (cf. Amos 5:18-20). The people had unrealistic expectations about the Day of Yahweh and the coming of the Messiah, but when the day arrives, it will not be what they expected, but a terrible surprise. So it will be for many believers today. Many believers living in sin will be unpleasantly surprised when Jesus comes (cf. 1 John 2:28).</w:t>
      </w:r>
    </w:p>
    <w:p>
      <w:pPr>
        <w:pStyle w:val="rVersHead"/>
        <w:widowControl w:val="on"/>
      </w:pPr>
      <w:r>
        <w:rPr/>
        <w:t xml:space="preserve">Mal 3:2</w:t>
      </w:r>
    </w:p>
    <w:p>
      <w:pPr>
        <w:pStyle w:val="rNormal"/>
        <w:widowControl w:val="on"/>
        <w:spacing w:before="240" w:after="240" w:line="240" w:lineRule="auto"/>
        <w:ind w:left="0" w:right="0" w:firstLine="1"/>
        <w:jc w:val="left"/>
      </w:pPr>
      <w:r>
        <w:rPr>
          <w:b/>
          <w:bCs/>
        </w:rPr>
        <w:t xml:space="preserve">“But who can endure the day of his coming?”</w:t>
      </w:r>
      <w:r>
        <w:rPr/>
        <w:t xml:space="preserve"> The prophets foretold that the Day of the Lord would be a horrific time of trials and tribulations (see commentary on Dan. 12:1), and the destruction of the wicked (cf. 2 Sam. 7:10; Ps. 1:4-6; 45:3-5; Isa. 11:4; 63:1-6; Matt. 25:41-46; Rev 19:19-21). Who would be left after that day?</w:t>
      </w:r>
    </w:p>
    <w:p>
      <w:pPr>
        <w:pStyle w:val="rNormal"/>
        <w:widowControl w:val="on"/>
        <w:spacing w:before="240" w:after="240" w:line="240" w:lineRule="auto"/>
        <w:ind w:left="0" w:right="0" w:firstLine="1"/>
        <w:jc w:val="left"/>
      </w:pPr>
      <w:r>
        <w:rPr>
          <w:b/>
          <w:bCs/>
        </w:rPr>
        <w:t xml:space="preserve">“For he is like a refiner’s fire and like launderer’s soap.”</w:t>
      </w:r>
      <w:r>
        <w:rPr/>
        <w:t xml:space="preserve"> The simile of the refiner’s fire points to the process of refining metals and separating the true metal from the dross, the unprofitable scum. The dross is thrown away and the refined metal is kept. Similarly, the launderer’s soap is a simile that emphasizes the cleansing that will occur on the Day of the Lord. Although these seem like terrifying images, they are actually comforting. The refiner does not destroy the metal, but purifies it, and the launderer does not destroy the garment but cleanses it and gets rid of the dirt and stains (the effective soaps that we have today were not yet invented, but the alkali soap that they had in ancient times worked quite well on most dirt). Although there is a “big picture” of Israel being refined and cleansed and the dross and dirt being gotten rid of (i.e., the evil people being destroyed), there is also the “personal view,” that individuals who have dealt with faults and failures all their life will be purified and cleansed.</w:t>
      </w:r>
    </w:p>
    <w:p>
      <w:pPr>
        <w:pStyle w:val="rVersHead"/>
        <w:widowControl w:val="on"/>
      </w:pPr>
      <w:r>
        <w:rPr/>
        <w:t xml:space="preserve">Mal 3:3</w:t>
      </w:r>
    </w:p>
    <w:p>
      <w:pPr>
        <w:pStyle w:val="rNormal"/>
        <w:widowControl w:val="on"/>
        <w:spacing w:before="240" w:after="240" w:line="240" w:lineRule="auto"/>
        <w:ind w:left="0" w:right="0" w:firstLine="1"/>
        <w:jc w:val="left"/>
      </w:pPr>
      <w:r>
        <w:rPr>
          <w:b/>
          <w:bCs/>
        </w:rPr>
        <w:t xml:space="preserve">“and he will sit as a refiner and purifier of silver.”</w:t>
      </w:r>
      <w:r>
        <w:rPr/>
        <w:t xml:space="preserve"> Silver may be mentioned first here because it generally was more common and thus more available to see, and also because it likely had more dross than when gold was refined.</w:t>
      </w:r>
    </w:p>
    <w:p>
      <w:pPr>
        <w:pStyle w:val="rNormal"/>
        <w:widowControl w:val="on"/>
        <w:spacing w:before="240" w:after="240" w:line="240" w:lineRule="auto"/>
        <w:ind w:left="0" w:right="0" w:firstLine="1"/>
        <w:jc w:val="left"/>
      </w:pPr>
      <w:r>
        <w:rPr>
          <w:b/>
          <w:bCs/>
        </w:rPr>
        <w:t xml:space="preserve">“he will purify the sons of Levi.”</w:t>
      </w:r>
      <w:r>
        <w:rPr/>
        <w:t xml:space="preserve"> It is not accidental that the first ones mentioned who will be purified are the “sons of Levi,” which would include the Levites and the priests. The Levites and priests were the religious leaders and responsible for knowing, teaching, and living out the Law. If the Levites and priests were not pure it was difficult indeed for the people to be pure.</w:t>
      </w:r>
    </w:p>
    <w:p>
      <w:pPr>
        <w:pStyle w:val="rNormal"/>
        <w:widowControl w:val="on"/>
        <w:spacing w:before="240" w:after="240" w:line="240" w:lineRule="auto"/>
        <w:ind w:left="0" w:right="0"/>
        <w:jc w:val="left"/>
      </w:pPr>
      <w:r>
        <w:rPr/>
        <w:t xml:space="preserve">In the Millennial Kingdom there will be a temple and it will be attended by priests, but not by ungodly priests (cf. Ezek. 43:19, 27; 44:15).</w:t>
      </w:r>
    </w:p>
    <w:p>
      <w:pPr>
        <w:pStyle w:val="rNormal"/>
        <w:widowControl w:val="on"/>
        <w:spacing w:before="240" w:after="240" w:line="240" w:lineRule="auto"/>
        <w:ind w:left="0" w:right="0" w:firstLine="1"/>
        <w:jc w:val="left"/>
      </w:pPr>
      <w:r>
        <w:rPr>
          <w:b/>
          <w:bCs/>
        </w:rPr>
        <w:t xml:space="preserve">“offerings in righteousness.”</w:t>
      </w:r>
      <w:r>
        <w:rPr/>
        <w:t xml:space="preserve"> That is, the Levites will bring offerings in accord with the righteous requirements of the Law.</w:t>
      </w:r>
    </w:p>
    <w:p>
      <w:pPr>
        <w:pStyle w:val="rVersHead"/>
        <w:widowControl w:val="on"/>
      </w:pPr>
      <w:r>
        <w:rPr/>
        <w:t xml:space="preserve">Mal 3:4</w:t>
      </w:r>
    </w:p>
    <w:p>
      <w:pPr>
        <w:pStyle w:val="rNormal"/>
        <w:widowControl w:val="on"/>
        <w:spacing w:before="240" w:after="240" w:line="240" w:lineRule="auto"/>
        <w:ind w:left="0" w:right="0" w:firstLine="1"/>
        <w:jc w:val="left"/>
      </w:pPr>
      <w:r>
        <w:rPr>
          <w:b/>
          <w:bCs/>
        </w:rPr>
        <w:t xml:space="preserve">“as in the days of old and as in ancient years.”</w:t>
      </w:r>
      <w:r>
        <w:rPr/>
        <w:t xml:space="preserve"> This never happened in a literal sense. Israel never even got rid of the idols they brought with them out of Egypt, and they continued to worship those idols and many others throughout her history (cf. Ezek. 20:4-21). Israel never fully followed God’s laws and guidance. Some scholars have suggested this is a general musing about the “good old days” (cf. Ecc. 7:10), but that does not seem correct. What is likely going on is that for a few short periods of time in Israel’s history the worship seemed to be quite pure, like in the early days of David or Hezekiah or Josiah, and God seems to be focusing on those times.</w:t>
      </w:r>
    </w:p>
    <w:p>
      <w:pPr>
        <w:pStyle w:val="rVersHead"/>
        <w:widowControl w:val="on"/>
      </w:pPr>
      <w:r>
        <w:rPr/>
        <w:t xml:space="preserve">Mal 3:5</w:t>
      </w:r>
    </w:p>
    <w:p>
      <w:pPr>
        <w:pStyle w:val="rNormal"/>
        <w:widowControl w:val="on"/>
        <w:spacing w:before="240" w:after="240" w:line="240" w:lineRule="auto"/>
        <w:ind w:left="0" w:right="0" w:firstLine="1"/>
        <w:jc w:val="left"/>
      </w:pPr>
      <w:r>
        <w:rPr>
          <w:b/>
          <w:bCs/>
        </w:rPr>
        <w:t xml:space="preserve">“I will come near to you for judgment.”</w:t>
      </w:r>
      <w:r>
        <w:rPr/>
        <w:t xml:space="preserve"> “Come near to you” is simply an idiomatic way of saying “come to you,” which is what some versions have (cf. CSB, Douay, NET, NJB, NIV2011). It does make it clear that the Lord will not judge from afar, but that the judgment will be very personal, “face to face,” if you will. The vocabulary alludes to a trial or courtroom, which some English versions attempt to catch (cf. “I am coming to put you on trial” (NJB), “I shall appear before you in court” (REB); see also NIV2011, NLT).</w:t>
      </w:r>
    </w:p>
    <w:p>
      <w:pPr>
        <w:pStyle w:val="rNormal"/>
        <w:widowControl w:val="on"/>
        <w:spacing w:before="240" w:after="240" w:line="240" w:lineRule="auto"/>
        <w:ind w:left="0" w:right="0"/>
        <w:jc w:val="left"/>
      </w:pPr>
      <w:r>
        <w:rPr/>
        <w:t xml:space="preserve">Yahweh will come near to the sinners via His personal representative, His Son, the Lord Jesus Christ (cf. John 5:22).</w:t>
      </w:r>
    </w:p>
    <w:p>
      <w:pPr>
        <w:pStyle w:val="rNormal"/>
        <w:widowControl w:val="on"/>
        <w:spacing w:before="240" w:after="240" w:line="240" w:lineRule="auto"/>
        <w:ind w:left="0" w:right="0" w:firstLine="1"/>
        <w:jc w:val="left"/>
      </w:pPr>
      <w:r>
        <w:rPr>
          <w:b/>
          <w:bCs/>
        </w:rPr>
        <w:t xml:space="preserve">“I will be a swift witness.”</w:t>
      </w:r>
      <w:r>
        <w:rPr/>
        <w:t xml:space="preserve"> When Jesus comes to rule the earth he will be a swift witness against evil. He will begin to judge right after he comes and the trials will not be long—there will be no continuances, appeals, or long lists of witnesses. The books that contain the records of people’s thoughts and deeds will be opened (Rev. 20:12-15), and God knows the hearts of the people and the truth of the situations, so the judgments will be swift (John 5:28-30).</w:t>
      </w:r>
    </w:p>
    <w:p>
      <w:pPr>
        <w:pStyle w:val="rNormal"/>
        <w:widowControl w:val="on"/>
        <w:spacing w:before="240" w:after="240" w:line="240" w:lineRule="auto"/>
        <w:ind w:left="0" w:right="0" w:firstLine="1"/>
        <w:jc w:val="left"/>
      </w:pPr>
      <w:r>
        <w:rPr>
          <w:b/>
          <w:bCs/>
        </w:rPr>
        <w:t xml:space="preserve">“against the sorcerers.”</w:t>
      </w:r>
      <w:r>
        <w:rPr/>
        <w:t xml:space="preserve"> All kinds of occult arts are specifically forbidden by God, and the reason is that the power behind them is the Devil (cf. Deut. 18:9-14).</w:t>
      </w:r>
    </w:p>
    <w:p>
      <w:pPr>
        <w:pStyle w:val="rVersHead"/>
        <w:widowControl w:val="on"/>
      </w:pPr>
      <w:r>
        <w:rPr/>
        <w:t xml:space="preserve">Mal 3:6</w:t>
      </w:r>
    </w:p>
    <w:p>
      <w:pPr>
        <w:pStyle w:val="rNormal"/>
        <w:widowControl w:val="on"/>
        <w:spacing w:before="240" w:after="240" w:line="240" w:lineRule="auto"/>
        <w:ind w:left="0" w:right="0" w:firstLine="1"/>
        <w:jc w:val="left"/>
      </w:pPr>
      <w:r>
        <w:rPr>
          <w:b/>
          <w:bCs/>
        </w:rPr>
        <w:t xml:space="preserve">“For I, Yahweh, do not change.”</w:t>
      </w:r>
      <w:r>
        <w:rPr/>
        <w:t xml:space="preserve"> God had made a covenant with Abraham, Isaac, and Jacob (see commentary on Gen. 15:18), and He was going to see that covenant come to pass. However, the covenant assured the survival of Israel, not the survival of any given Israelite.</w:t>
      </w:r>
    </w:p>
    <w:p>
      <w:pPr>
        <w:pStyle w:val="rNormal"/>
        <w:widowControl w:val="on"/>
        <w:spacing w:before="240" w:after="240" w:line="240" w:lineRule="auto"/>
        <w:ind w:left="0" w:right="0" w:firstLine="1"/>
        <w:jc w:val="left"/>
      </w:pPr>
      <w:r>
        <w:rPr>
          <w:b/>
          <w:bCs/>
        </w:rPr>
        <w:t xml:space="preserve">“O sons of Jacob.”</w:t>
      </w:r>
      <w:r>
        <w:rPr/>
        <w:t xml:space="preserve"> This title “sons of Jacob” is used for emphasis and in irony. Jacob cheated to get ahead, for example, Jacob pretended to be his older brother Esau and thus “robbed” Esau of his blessing (Gen. 27:1-37). Now the Israelites, the “sons of Jacob” were robbing God (Mal. 3:8-9). Like father, like son.</w:t>
      </w:r>
    </w:p>
    <w:p>
      <w:pPr>
        <w:pStyle w:val="rVersHead"/>
        <w:widowControl w:val="on"/>
      </w:pPr>
      <w:r>
        <w:rPr/>
        <w:t xml:space="preserve">Mal 3:7</w:t>
      </w:r>
    </w:p>
    <w:p>
      <w:pPr>
        <w:pStyle w:val="rNormal"/>
        <w:widowControl w:val="on"/>
        <w:spacing w:before="240" w:after="240" w:line="240" w:lineRule="auto"/>
        <w:ind w:left="0" w:right="0" w:firstLine="1"/>
        <w:jc w:val="left"/>
      </w:pPr>
      <w:r>
        <w:rPr>
          <w:b/>
          <w:bCs/>
        </w:rPr>
        <w:t xml:space="preserve">“From the days of your fathers, you have turned aside from my ordinances.”</w:t>
      </w:r>
      <w:r>
        <w:rPr/>
        <w:t xml:space="preserve"> Israel took idols from Egypt with them and continued to worship idols and engage in various unlawful practices throughout her history (cf. Josh. 24:14; Ezek. 20:4-21).</w:t>
      </w:r>
    </w:p>
    <w:p>
      <w:pPr>
        <w:pStyle w:val="rNormal"/>
        <w:widowControl w:val="on"/>
        <w:spacing w:before="240" w:after="240" w:line="240" w:lineRule="auto"/>
        <w:ind w:left="0" w:right="0" w:firstLine="1"/>
        <w:jc w:val="left"/>
      </w:pPr>
      <w:r>
        <w:rPr>
          <w:b/>
          <w:bCs/>
        </w:rPr>
        <w:t xml:space="preserve">“Return to me and I will return to you.”</w:t>
      </w:r>
      <w:r>
        <w:rPr/>
        <w:t xml:space="preserve"> This statement is a great key to success with God. For God to truly bless us we have to return to Him, we have to worship and obey Him. Then He, in turn, can act to bless us. Although we might think, “So I have to move first,” that is not actually true. God made the first move and blessed us. Malachi opens up with “I have loved you, says Yahweh” (Mal. 1:2), and that is true. God loved us first, and that is the basis opon which we love Him back (1 John 4:19: “We love because he first loved us”). God created the earth in such a way that we would be blessed to live here. Then God gave us life. Then, when humans sinned and messed up God’s “very good” world, God sent His Son to die for us to redeem both us and the world. Besides that, God has blessed humankind millions of times in the 6,000 years of human existence. So God has moved first. But humans have been sinful, arrogant, and rebellious, and we have pulled away from God. So now God gives us a simple way to have a wonderful life: return to God and He will return to us and bless us.</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There is a lot of misinformation about tithing in the Church today. The first time in the Bible that a “tenth,” a “tithe,” is mentioned is in Genesis 14:20, when Abraham gave a tenth of the spoils of war to Melchizedek. However, the “tenth” that Abraham gave was not the same as the regular “tithe” in the Mosaic Law. Abraham gave Melchizedek a one-time offering and it was from the spoils of a war he fought, not a tithe from his flocks, herds, and produce. About 400 years later, Moses commanded a tithe be given to support the Tabernacle and Levites (Lev. 27:30-33 is the first Mosaic commandment about the tithe). But today there are no more Levites or Temple to support, so God changed the rules about giving back to what they had been before the Lervites and Tabernacle existed, and so people can give what they feel in their heart is right. Thus, the Church Epistles encourage people to give from their heart (2 Cor. 9:7), and give to the poor (Rom. 15:26; Gal. 2:10), to the Lord’s people who needed it (1 Cor. 16:1-2; 2 Cor. 8:14), and to those who serve the Lord (1 Cor. 9:6-14; 1 Tim. 5:17-18).</w:t>
      </w:r>
    </w:p>
    <w:p>
      <w:pPr>
        <w:pStyle w:val="rNormal"/>
        <w:widowControl w:val="on"/>
        <w:spacing w:before="240" w:after="240" w:line="240" w:lineRule="auto"/>
        <w:ind w:left="0" w:right="0"/>
        <w:jc w:val="left"/>
      </w:pPr>
      <w:r>
        <w:rPr/>
        <w:t xml:space="preserve">[For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Normal"/>
        <w:widowControl w:val="on"/>
        <w:spacing w:before="240" w:after="240" w:line="240" w:lineRule="auto"/>
        <w:ind w:left="0" w:right="0" w:firstLine="1"/>
        <w:jc w:val="left"/>
      </w:pPr>
      <w:r>
        <w:rPr>
          <w:b/>
          <w:bCs/>
        </w:rPr>
        <w:t xml:space="preserve">“this whole nation.”</w:t>
      </w:r>
      <w:r>
        <w:rPr/>
        <w:t xml:space="preserve"> Here in Malachi 3:9, the phrase “this whole nation” does not mean every single person, but it refers to every strata in the society—the priests, the Levites, the leaders and elders, and the people, and it does refer to the majority of the people. Furthermore, God looks on Israel as a whole, and it is blessed or cursed as a whole nation. That is true with nations on earth today as well.</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Although the tithe does not strictly apply to Christians today, the principle does: if we obey God we will get the benefits and blessings of that obedience. If we disobey God, we will lose out on those blessings.</w:t>
      </w:r>
    </w:p>
    <w:p>
      <w:pPr>
        <w:pStyle w:val="rNormal"/>
        <w:widowControl w:val="on"/>
        <w:spacing w:before="240" w:after="240" w:line="240" w:lineRule="auto"/>
        <w:ind w:left="0" w:right="0"/>
        <w:jc w:val="left"/>
      </w:pPr>
      <w:r>
        <w:rPr/>
        <w:t xml:space="preserve">[For more on tithes, see commentaries on Genesis 14:20 and 2 Corinthians 9:7.]</w:t>
      </w:r>
    </w:p>
    <w:p>
      <w:pPr>
        <w:pStyle w:val="rNormal"/>
        <w:widowControl w:val="on"/>
        <w:spacing w:before="240" w:after="240" w:line="240" w:lineRule="auto"/>
        <w:ind w:left="0" w:right="0" w:firstLine="1"/>
        <w:jc w:val="left"/>
      </w:pPr>
      <w:r>
        <w:rPr>
          <w:b/>
          <w:bCs/>
        </w:rPr>
        <w:t xml:space="preserve">“and test me now in this, says Yahweh of Armies.”</w:t>
      </w:r>
      <w:r>
        <w:rPr/>
        <w:t xml:space="preserve"> It is very encouraging to know that God invites us to test Him in what He says. We do generally have to test God believing that He will be good for His word, but we do get to test Him. However, it is important to test God about things that He has actually promised. For example, God says He hears our prayers, but He never promised to answer every prayer.</w:t>
      </w:r>
    </w:p>
    <w:p>
      <w:pPr>
        <w:pStyle w:val="rVersHead"/>
        <w:widowControl w:val="on"/>
      </w:pPr>
      <w:r>
        <w:rPr/>
        <w:t xml:space="preserve">Mal 3:11</w:t>
      </w:r>
    </w:p>
    <w:p>
      <w:pPr>
        <w:pStyle w:val="rNormal"/>
        <w:widowControl w:val="on"/>
        <w:spacing w:before="240" w:after="240" w:line="240" w:lineRule="auto"/>
        <w:ind w:left="0" w:right="0" w:firstLine="1"/>
        <w:jc w:val="left"/>
      </w:pPr>
      <w:r>
        <w:rPr>
          <w:b/>
          <w:bCs/>
        </w:rPr>
        <w:t xml:space="preserve">“I will rebuke the devourer.”</w:t>
      </w:r>
      <w:r>
        <w:rPr/>
        <w:t xml:space="preserve"> The specific devourer is not named, and most scholars assert it likely refers to some kind of locust. That may be true, but the true “devourer” behind all the lesser destroyers is the Devil himself, and believers can be confident that if the nation they live in obeys God and keeps His laws they will be blessed. The believer who lives in an ungodly nation is not guaranteed to be blessed to the same extent, but God always does all He can to bless His people.</w:t>
      </w:r>
    </w:p>
    <w:p>
      <w:pPr>
        <w:pStyle w:val="rVersHead"/>
        <w:widowControl w:val="on"/>
      </w:pPr>
      <w:r>
        <w:rPr/>
        <w:t xml:space="preserve">Mal 3:12</w:t>
      </w:r>
    </w:p>
    <w:p>
      <w:pPr>
        <w:pStyle w:val="rNormal"/>
        <w:widowControl w:val="on"/>
        <w:spacing w:before="240" w:after="240" w:line="240" w:lineRule="auto"/>
        <w:ind w:left="0" w:right="0" w:firstLine="1"/>
        <w:jc w:val="left"/>
      </w:pPr>
      <w:r>
        <w:rPr>
          <w:b/>
          <w:bCs/>
        </w:rPr>
        <w:t xml:space="preserve">“for you will be a delightful land.”</w:t>
      </w:r>
      <w:r>
        <w:rPr/>
        <w:t xml:space="preserve"> If Israel could have ever followed the laws of God, then it would have been blessed, just as God promised. However, Israel never has been able to keep the laws of God. In the future Millennial Kingdom of Christ, when Christ rules the earth, Israel will follow God’s laws and Israel will be a delightful land (see Appendix 5: Christ’s Future Kingdom on Earth).</w:t>
      </w:r>
    </w:p>
    <w:p>
      <w:pPr>
        <w:pStyle w:val="rVersHead"/>
        <w:widowControl w:val="on"/>
      </w:pPr>
      <w:r>
        <w:rPr/>
        <w:t xml:space="preserve">Mal 3:13</w:t>
      </w:r>
    </w:p>
    <w:p>
      <w:pPr>
        <w:pStyle w:val="rNormal"/>
        <w:widowControl w:val="on"/>
        <w:spacing w:before="240" w:after="240" w:line="240" w:lineRule="auto"/>
        <w:ind w:left="0" w:right="0" w:firstLine="1"/>
        <w:jc w:val="left"/>
      </w:pPr>
      <w:r>
        <w:rPr>
          <w:b/>
          <w:bCs/>
        </w:rPr>
        <w:t xml:space="preserve">“‘How have we spoken against you?’”</w:t>
      </w:r>
      <w:r>
        <w:rPr/>
        <w:t xml:space="preserve"> Here again we see the willful ignorance and rebellion against God that is present in so many people (see the </w:t>
      </w:r>
      <w:hyperlink r:id="rId645968680f4702d0c" w:history="1">
        <w:r>
          <w:rPr>
            <w:u w:val="single"/>
          </w:rPr>
          <w:t xml:space="preserve">Introduction to Malachi</w:t>
        </w:r>
      </w:hyperlink>
      <w:r>
        <w:rPr/>
        <w:t xml:space="preserve">, the eight questions asked by the priests and people).</w:t>
      </w:r>
    </w:p>
    <w:p>
      <w:pPr>
        <w:pStyle w:val="rVersHead"/>
        <w:widowControl w:val="on"/>
      </w:pPr>
      <w:r>
        <w:rPr/>
        <w:t xml:space="preserve">Mal 3:14</w:t>
      </w:r>
    </w:p>
    <w:p>
      <w:pPr>
        <w:pStyle w:val="rNormal"/>
        <w:widowControl w:val="on"/>
        <w:spacing w:before="240" w:after="240" w:line="240" w:lineRule="auto"/>
        <w:ind w:left="0" w:right="0" w:firstLine="1"/>
        <w:jc w:val="left"/>
      </w:pPr>
      <w:r>
        <w:rPr>
          <w:b/>
          <w:bCs/>
        </w:rPr>
        <w:t xml:space="preserve">“‘It is vain to serve God,’ and, ‘What profit is it that we have followed his instructions.”</w:t>
      </w:r>
      <w:r>
        <w:rPr/>
        <w:t xml:space="preserve"> There are scholars who say that these are the words of the unbelieving Jews who halfheartedly at best obey some of God’s commands. However, there are other scholars who say these are the words of the believers who are trying to serve God but are not seeing any discernible profit from it, and those could be believers like Job or the Psalmist (Ps. 73:2-14) or Jeremiah (Jer. 12:1-2). Actually, these words could come from people of both persuasions. Unbelievers feel it is vain to serve God, and believers often feel like it is no use to serve God because the expected blessings never seem to come. The fact is that the world is so evil and so broken and so dominated by Satan that often it seems like the blessings of God do not come. And if a person lives in a godless nation that defies God that may be the case. The writer of Psalm 73 was initially discouraged at all the evil he saw around him, but finally woke up and understood the final end of the wicked (Ps. 73:16-20), and the honor that faithful believers will receive (Ps. 73:24). The world we live in is unfair; some people have good parents and live in a prosperous country and seem to do well, while others have evil parents and live in a godless country and are poor and sick most of their lives. But the next life will be a great blessing for those who can keep their trust in God. This point is made in Malachi 3:18.</w:t>
      </w:r>
    </w:p>
    <w:p>
      <w:pPr>
        <w:pStyle w:val="rNormal"/>
        <w:widowControl w:val="on"/>
        <w:spacing w:before="240" w:after="240" w:line="240" w:lineRule="auto"/>
        <w:ind w:left="0" w:right="0"/>
        <w:jc w:val="left"/>
      </w:pPr>
      <w:r>
        <w:rPr/>
        <w:t xml:space="preserve">[For information on the Devil being in control of what happens on earth, see commentary on Luke 4:6].</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VersHead"/>
        <w:widowControl w:val="on"/>
      </w:pPr>
      <w:r>
        <w:rPr/>
        <w:t xml:space="preserve">Mal 3:17</w:t>
      </w:r>
    </w:p>
    <w:p>
      <w:pPr>
        <w:pStyle w:val="rNormal"/>
        <w:widowControl w:val="on"/>
        <w:spacing w:before="240" w:after="240" w:line="240" w:lineRule="auto"/>
        <w:ind w:left="0" w:right="0" w:firstLine="1"/>
        <w:jc w:val="left"/>
      </w:pPr>
      <w:r>
        <w:rPr>
          <w:b/>
          <w:bCs/>
        </w:rPr>
        <w:t xml:space="preserve">“on the day that I make up my own treasured possession.”</w:t>
      </w:r>
      <w:r>
        <w:rPr/>
        <w:t xml:space="preserve"> On Judgment Day, God will separate the wheat from the chaff, the good from the evil, and evil people will be destroyed while the godly people will be granted everlasting life (cf. Mal. 4:1-2). God chose the nation of Israel to be a special possession (Exod. 19:5; Deut. 7:6) but it was if Israel would keep their covenant with God, which they did not do. Nevertheless, some people did revere and obey God, and on Judgment Day those godly people will make up God’s treasured possession.</w:t>
      </w:r>
    </w:p>
    <w:p>
      <w:pPr>
        <w:pStyle w:val="rNormal"/>
        <w:widowControl w:val="on"/>
        <w:spacing w:before="240" w:after="240" w:line="240" w:lineRule="auto"/>
        <w:ind w:left="0" w:right="0" w:firstLine="1"/>
        <w:jc w:val="left"/>
      </w:pPr>
      <w:r>
        <w:rPr>
          <w:b/>
          <w:bCs/>
        </w:rPr>
        <w:t xml:space="preserve">“as a man spares his own son who serves him.”</w:t>
      </w:r>
      <w:r>
        <w:rPr/>
        <w:t xml:space="preserve"> The word “serves” can mean to work hard, toil, or even serve as a slave. The idea being imported into the text from the culture is that a man who is hard-working and has a hard-working family will still have his servants and slaves do the difficult and dangerous work, sparing his son from that danger. It does not mean the son is spared the work, but he is spared he toil and danger of the worst part of the work.</w:t>
      </w:r>
    </w:p>
    <w:p>
      <w:pPr>
        <w:pStyle w:val="rVersHead"/>
        <w:widowControl w:val="on"/>
      </w:pPr>
      <w:r>
        <w:rPr/>
        <w:t xml:space="preserve">Mal 3:18</w:t>
      </w:r>
    </w:p>
    <w:p>
      <w:pPr>
        <w:pStyle w:val="rNormal"/>
        <w:widowControl w:val="on"/>
        <w:spacing w:before="240" w:after="240" w:line="240" w:lineRule="auto"/>
        <w:ind w:left="0" w:right="0" w:firstLine="1"/>
        <w:jc w:val="left"/>
      </w:pPr>
      <w:r>
        <w:rPr>
          <w:b/>
          <w:bCs/>
        </w:rPr>
        <w:t xml:space="preserve">“once again.”</w:t>
      </w:r>
      <w:r>
        <w:rPr/>
        <w:t xml:space="preserve"> The people of God had seen the difference between the righteous and the wicked in the past, for example, when Israel was delivered from Pharaoh but the Egyptians were drowned in the sea, of when the ground opened up and swallowed the men who were fighting against Moses (Num. 16:1-33). Many times in Israel’s history, God fought for Israel against both external and internal enemies.</w:t>
      </w:r>
    </w:p>
    <w:p>
      <w:pPr>
        <w:pStyle w:val="rNormal"/>
        <w:widowControl w:val="on"/>
        <w:spacing w:before="240" w:after="240" w:line="240" w:lineRule="auto"/>
        <w:ind w:left="0" w:right="0" w:firstLine="1"/>
        <w:jc w:val="left"/>
      </w:pPr>
      <w:r>
        <w:rPr>
          <w:b/>
          <w:bCs/>
        </w:rPr>
        <w:t xml:space="preserve">“you will see the difference between the righteous and the wicked.”</w:t>
      </w:r>
      <w:r>
        <w:rPr/>
        <w:t xml:space="preserve"> The real blessing of being a believer is not any material blessing that you will receive here on earth, but the blessing of everlasting life and rewards which are granted to the righteous. The only future of the wicked is death (John 3:16; Rom. 6:23); death by burning up in the Lake of Fire (Rev. 20:11-15).</w:t>
      </w:r>
    </w:p>
    <w:p>
      <w:pPr>
        <w:pStyle w:val="rNormal"/>
        <w:widowControl w:val="on"/>
        <w:spacing w:before="240" w:after="240" w:line="240" w:lineRule="auto"/>
        <w:ind w:left="0" w:right="0"/>
        <w:jc w:val="left"/>
      </w:pPr>
      <w:r>
        <w:rPr/>
        <w:t xml:space="preserve">[For more on burning up in the Lake of Fire, and not “burning in hell forever,”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the latest and last of the prophets would end with the prophecy of the coming Messiah (however, 2 Chronicles is the last book in the Hebrew Bible). Of note is that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“with healing in his wings.”</w:t>
      </w:r>
      <w:r>
        <w:rPr/>
        <w:t xml:space="preserve"> The “wing” is the border or outer edge of the garment (cf. Ruth 3:9). That Malachi foretold that the Messiah would have healing in the edge of his garment is the likely reason that the unnamed woman who had an issue of blood for 12 years said to herself, “If I can only touch his garment, I will be healed” (Matt. 9:21). Apparently the woman believed Jesus was the Messiah and therefore that God would honor His prophecy that the Messiah would have healing in his garment (see commentary on Matt. 9:21).</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265968680f46dacc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707543"/>
      <w:docPartObj>
        <w:docPartGallery w:val="Page Numbers (Bottom of Page)"/>
        <w:docPartUnique/>
      </w:docPartObj>
    </w:sdtPr>
    <w:sdtContent>
      <w:sdt>
        <w:sdtPr>
          <w:id w:val="4645290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891">
    <w:p>
      <w:pPr>
        <w:pStyle w:val="FootnoteText"/>
      </w:pPr>
      <w:r>
        <w:rPr>
          <w:rStyle w:val="FootnoteReference"/>
        </w:rPr>
        <w:footnoteRef/>
      </w:r>
      <w:r>
        <w:t xml:space="preserve">
          <w:r>
            <w:t xml:space="preserve">
              <w:r>
                <w:t xml:space="preserve"> Keil and Delitzsch, </w:t>
              </w:r>
              <w:r>
                <w:rPr>
                  <w:i/>
                </w:rPr>
                <w:t xml:space="preserve">Commentary on the Old Testament: Minor Prophets</w:t>
              </w:r>
              <w:r>
                <w:t xml:space="preserve">.</w:t>
              </w:r>
            </w:t>
          </w:r>
        </w:t>
      </w:r>
    </w:p>
  </w:footnote>
  <w:footnote w:id="12068">
    <w:p>
      <w:pPr>
        <w:pStyle w:val="FootnoteText"/>
      </w:pPr>
      <w:r>
        <w:rPr>
          <w:rStyle w:val="FootnoteReference"/>
        </w:rPr>
        <w:footnoteRef/>
      </w:r>
      <w:r>
        <w:t xml:space="preserve">
          <w:r>
            <w:t xml:space="preserve">
              <w:r>
                <w:t xml:space="preserve"> Ralph L. Smith, </w:t>
              </w:r>
              <w:r>
                <w:rPr>
                  <w:i/>
                </w:rPr>
                <w:t xml:space="preserve">Micah-Malachi</w:t>
              </w:r>
              <w:r>
                <w:t xml:space="preserve"> [WBC], 30.</w:t>
              </w:r>
            </w:t>
          </w:r>
        </w:t>
      </w:r>
    </w:p>
  </w:footnote>
  <w:footnote w:id="17547">
    <w:p>
      <w:pPr>
        <w:pStyle w:val="FootnoteText"/>
      </w:pPr>
      <w:r>
        <w:rPr>
          <w:rStyle w:val="FootnoteReference"/>
        </w:rPr>
        <w:footnoteRef/>
      </w:r>
      <w:r>
        <w:t xml:space="preserve">
          <w:r>
            <w:t xml:space="preserve">
              <w:r>
                <w:t xml:space="preserve"> John M. P. Smith, </w:t>
              </w:r>
              <w:r>
                <w:rPr>
                  <w:i/>
                </w:rPr>
                <w:t xml:space="preserve">A Critical and Exegetical Commentary on the Book of Malachi</w:t>
              </w:r>
              <w:r>
                <w:t xml:space="preserve"> [ICC], 37.</w:t>
              </w:r>
            </w:t>
          </w:r>
        </w:t>
      </w:r>
    </w:p>
  </w:footnote>
  <w:footnote w:id="15268">
    <w:p>
      <w:pPr>
        <w:pStyle w:val="FootnoteText"/>
      </w:pPr>
      <w:r>
        <w:rPr>
          <w:rStyle w:val="FootnoteReference"/>
        </w:rPr>
        <w:footnoteRef/>
      </w:r>
      <w:r>
        <w:t xml:space="preserve">
          <w:r>
            <w:t xml:space="preserve">
              <w:r>
                <w:t xml:space="preserve"> Ralph L. Smith, </w:t>
              </w:r>
              <w:r>
                <w:rPr>
                  <w:i/>
                </w:rPr>
                <w:t xml:space="preserve">Micah-Malachi</w:t>
              </w:r>
              <w:r>
                <w:t xml:space="preserve"> [WBC], 317.</w:t>
              </w:r>
            </w:t>
          </w:r>
        </w:t>
      </w:r>
    </w:p>
  </w:footnote>
  <w:footnote w:id="10161">
    <w:p>
      <w:pPr>
        <w:pStyle w:val="FootnoteText"/>
      </w:pPr>
      <w:r>
        <w:rPr>
          <w:rStyle w:val="FootnoteReference"/>
        </w:rPr>
        <w:footnoteRef/>
      </w:r>
      <w:r>
        <w:t xml:space="preserve">
          <w:r>
            <w:t xml:space="preserve">
              <w:r>
                <w:t xml:space="preserve"> Ralph L. Smith, </w:t>
              </w:r>
              <w:r>
                <w:rPr>
                  <w:i/>
                </w:rPr>
                <w:t xml:space="preserve">Micah-Malachi</w:t>
              </w:r>
              <w:r>
                <w:t xml:space="preserve"> [WBC], 319.</w:t>
              </w:r>
            </w:t>
          </w:r>
        </w:t>
      </w:r>
    </w:p>
  </w:footnote>
  <w:footnote w:id="30464">
    <w:p>
      <w:pPr>
        <w:pStyle w:val="FootnoteText"/>
      </w:pPr>
      <w:r>
        <w:rPr>
          <w:rStyle w:val="FootnoteReference"/>
        </w:rPr>
        <w:footnoteRef/>
      </w:r>
      <w:r>
        <w:t xml:space="preserve">
          <w:r>
            <w:t xml:space="preserve">
              <w:r>
                <w:t xml:space="preserve"> Tremper Longman III and David Garland, eds., </w:t>
              </w:r>
              <w:r>
                <w:rPr>
                  <w:i/>
                </w:rPr>
                <w:t xml:space="preserve">The Expositor’s Bible Commentary, Revised Edition</w:t>
              </w:r>
              <w:r>
                <w:t xml:space="preserve">, Zondervan, 857-858.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965377">
    <w:multiLevelType w:val="hybridMultilevel"/>
    <w:lvl w:ilvl="0" w:tplc="30688800">
      <w:start w:val="1"/>
      <w:numFmt w:val="decimal"/>
      <w:lvlText w:val="%1."/>
      <w:lvlJc w:val="left"/>
      <w:pPr>
        <w:ind w:left="720" w:hanging="360"/>
      </w:pPr>
    </w:lvl>
    <w:lvl w:ilvl="1" w:tplc="30688800" w:tentative="1">
      <w:start w:val="1"/>
      <w:numFmt w:val="lowerLetter"/>
      <w:lvlText w:val="%2."/>
      <w:lvlJc w:val="left"/>
      <w:pPr>
        <w:ind w:left="1440" w:hanging="360"/>
      </w:pPr>
    </w:lvl>
    <w:lvl w:ilvl="2" w:tplc="30688800" w:tentative="1">
      <w:start w:val="1"/>
      <w:numFmt w:val="lowerRoman"/>
      <w:lvlText w:val="%3."/>
      <w:lvlJc w:val="right"/>
      <w:pPr>
        <w:ind w:left="2160" w:hanging="180"/>
      </w:pPr>
    </w:lvl>
    <w:lvl w:ilvl="3" w:tplc="30688800" w:tentative="1">
      <w:start w:val="1"/>
      <w:numFmt w:val="decimal"/>
      <w:lvlText w:val="%4."/>
      <w:lvlJc w:val="left"/>
      <w:pPr>
        <w:ind w:left="2880" w:hanging="360"/>
      </w:pPr>
    </w:lvl>
    <w:lvl w:ilvl="4" w:tplc="30688800" w:tentative="1">
      <w:start w:val="1"/>
      <w:numFmt w:val="lowerLetter"/>
      <w:lvlText w:val="%5."/>
      <w:lvlJc w:val="left"/>
      <w:pPr>
        <w:ind w:left="3600" w:hanging="360"/>
      </w:pPr>
    </w:lvl>
    <w:lvl w:ilvl="5" w:tplc="30688800" w:tentative="1">
      <w:start w:val="1"/>
      <w:numFmt w:val="lowerRoman"/>
      <w:lvlText w:val="%6."/>
      <w:lvlJc w:val="right"/>
      <w:pPr>
        <w:ind w:left="4320" w:hanging="180"/>
      </w:pPr>
    </w:lvl>
    <w:lvl w:ilvl="6" w:tplc="30688800" w:tentative="1">
      <w:start w:val="1"/>
      <w:numFmt w:val="decimal"/>
      <w:lvlText w:val="%7."/>
      <w:lvlJc w:val="left"/>
      <w:pPr>
        <w:ind w:left="5040" w:hanging="360"/>
      </w:pPr>
    </w:lvl>
    <w:lvl w:ilvl="7" w:tplc="30688800" w:tentative="1">
      <w:start w:val="1"/>
      <w:numFmt w:val="lowerLetter"/>
      <w:lvlText w:val="%8."/>
      <w:lvlJc w:val="left"/>
      <w:pPr>
        <w:ind w:left="5760" w:hanging="360"/>
      </w:pPr>
    </w:lvl>
    <w:lvl w:ilvl="8" w:tplc="30688800" w:tentative="1">
      <w:start w:val="1"/>
      <w:numFmt w:val="lowerRoman"/>
      <w:lvlText w:val="%9."/>
      <w:lvlJc w:val="right"/>
      <w:pPr>
        <w:ind w:left="6480" w:hanging="180"/>
      </w:pPr>
    </w:lvl>
  </w:abstractNum>
  <w:abstractNum w:abstractNumId="28882">
    <w:multiLevelType w:val="hybridMultilevel"/>
    <w:lvl w:ilvl="0" w:tplc="886097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82">
    <w:abstractNumId w:val="28882"/>
  </w:num>
  <w:num w:numId="82965377">
    <w:abstractNumId w:val="829653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3314721" Type="http://schemas.openxmlformats.org/officeDocument/2006/relationships/numbering" Target="numbering.xml"/><Relationship Id="rId397253672" Type="http://schemas.openxmlformats.org/officeDocument/2006/relationships/comments" Target="comments.xml"/><Relationship Id="rId265968680f46dacc5" Type="http://schemas.openxmlformats.org/officeDocument/2006/relationships/footer" Target="defaultFooter.xml"/><Relationship Id="rId645968680f4702d0c" Type="http://schemas.openxmlformats.org/officeDocument/2006/relationships/hyperlink" Target="https://www.revisedenglishversion.com/intro/Malac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