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14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FootnoteReference"/>
        </w:rPr>
        <w:footnoteReference w:id="28143"/>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FootnoteReference"/>
        </w:rPr>
        <w:footnoteReference w:id="30994"/>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FootnoteReference"/>
        </w:rPr>
        <w:footnoteReference w:id="10496"/>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FootnoteReference"/>
        </w:rPr>
        <w:footnoteReference w:id="11576"/>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will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Throughout all the land of Egypt the hail struck down everything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FootnoteReference"/>
        </w:rPr>
        <w:footnoteReference w:id="14151"/>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FootnoteReference"/>
        </w:rPr>
        <w:footnoteReference w:id="15197"/>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slaughter it in the evening.</w:t>
      </w:r>
      <w:r>
        <w:rPr>
          <w:rStyle w:val="FootnoteReference"/>
        </w:rPr>
        <w:footnoteReference w:id="14830"/>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leaven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slaughter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are to redeem with a lamb, but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which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FootnoteReference"/>
        </w:rPr>
        <w:footnoteReference w:id="12663"/>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FootnoteReference"/>
        </w:rPr>
        <w:footnoteReference w:id="21555"/>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FootnoteReference"/>
              </w:rPr>
              <w:footnoteReference w:id="16267"/>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FootnoteReference"/>
              </w:rPr>
              <w:footnoteReference w:id="20048"/>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FootnoteReference"/>
              </w:rPr>
              <w:footnoteReference w:id="30539"/>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a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FootnoteReference"/>
        </w:rPr>
        <w:footnoteReference w:id="13333"/>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flesh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flesh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flesh,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for each person;</w:t>
      </w:r>
      <w:r>
        <w:rPr>
          <w:rStyle w:val="FootnoteReference"/>
        </w:rPr>
        <w:footnoteReference w:id="12528"/>
      </w:r>
      <w:r>
        <w:rPr/>
        <w:t xml:space="preserve">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FootnoteReference"/>
        </w:rPr>
        <w:footnoteReference w:id="27931"/>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FootnoteReference"/>
        </w:rPr>
        <w:footnoteReference w:id="15117"/>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FootnoteReference"/>
        </w:rPr>
        <w:footnoteReference w:id="30933"/>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FootnoteReference"/>
        </w:rPr>
        <w:footnoteReference w:id="21176"/>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FootnoteReference"/>
        </w:rPr>
        <w:footnoteReference w:id="20545"/>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FootnoteReference"/>
        </w:rPr>
        <w:footnoteReference w:id="29651"/>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FootnoteReference"/>
        </w:rPr>
        <w:footnoteReference w:id="28524"/>
      </w:r>
      <w:r>
        <w:rPr/>
        <w:t xml:space="preserve"> and will bring him to the door or to the doorpost. And his master is to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FootnoteReference"/>
        </w:rPr>
        <w:footnoteReference w:id="12121"/>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are to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FootnoteReference"/>
        </w:rPr>
        <w:footnoteReference w:id="19939"/>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FootnoteReference"/>
        </w:rPr>
        <w:footnoteReference w:id="13665"/>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made before Yahweh is to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restitution, yes,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FootnoteReference"/>
        </w:rPr>
        <w:footnoteReference w:id="17158"/>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FootnoteReference"/>
        </w:rPr>
        <w:footnoteReference w:id="23369"/>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are not to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because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FootnoteReference"/>
        </w:rPr>
        <w:footnoteReference w:id="29287"/>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“Pay attention to all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FootnoteReference"/>
        </w:rPr>
        <w:footnoteReference w:id="20614"/>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w:t>
      </w:r>
      <w:r>
        <w:rPr>
          <w:i/>
          <w:iCs/>
        </w:rPr>
        <w:t xml:space="preserve">also celebrate</w:t>
      </w:r>
      <w:r>
        <w:rPr/>
        <w:t xml:space="preserve"> the Feast of Harvest, the firstfruits of your labor, of what you sow in the field. And </w:t>
      </w:r>
      <w:r>
        <w:rPr>
          <w:i/>
          <w:iCs/>
        </w:rPr>
        <w:t xml:space="preserve">also</w:t>
      </w:r>
      <w:r>
        <w:rPr/>
        <w:t xml:space="preserve">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face of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FootnoteReference"/>
        </w:rPr>
        <w:footnoteReference w:id="20488"/>
      </w:r>
      <w:r>
        <w:rPr/>
        <w:t xml:space="preserve"> nor serve them, nor do according to their </w:t>
      </w:r>
      <w:r>
        <w:rPr>
          <w:i/>
          <w:iCs/>
        </w:rPr>
        <w:t xml:space="preserve">worship</w:t>
      </w:r>
      <w:r>
        <w:rPr/>
        <w:t xml:space="preserve"> practices, but you must tear, yes, tear them</w:t>
      </w:r>
      <w:r>
        <w:rPr>
          <w:rStyle w:val="FootnoteReference"/>
        </w:rPr>
        <w:footnoteReference w:id="22262"/>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FootnoteReference"/>
        </w:rPr>
        <w:footnoteReference w:id="23778"/>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sanctuary for me, and I will dwell</w:t>
      </w:r>
      <w:r>
        <w:rPr>
          <w:rStyle w:val="FootnoteReference"/>
        </w:rPr>
        <w:footnoteReference w:id="25072"/>
      </w:r>
      <w:r>
        <w:rPr/>
        <w:t xml:space="preserve"> among them. </w:t>
      </w:r>
      <w:r>
        <w:rPr>
          <w:rStyle w:val="rSupStyle"/>
          <w:vertAlign w:val="superscript"/>
        </w:rPr>
        <w:t xml:space="preserve">9</w:t>
      </w:r>
      <w:r>
        <w:rPr/>
        <w:t xml:space="preserve">According to all that I show you, the pattern of the tabernacle</w:t>
      </w:r>
      <w:r>
        <w:rPr>
          <w:rStyle w:val="FootnoteReference"/>
        </w:rPr>
        <w:footnoteReference w:id="15369"/>
      </w:r>
      <w:r>
        <w:rPr/>
        <w:t xml:space="preserve"> and the pattern of all of its furnishings, you</w:t>
      </w:r>
      <w:r>
        <w:rPr>
          <w:rStyle w:val="FootnoteReference"/>
        </w:rPr>
        <w:footnoteReference w:id="21561"/>
      </w:r>
      <w:r>
        <w:rPr/>
        <w:t xml:space="preserve"> are to make it just like that </w:t>
      </w:r>
      <w:r>
        <w:rPr>
          <w:i/>
          <w:iCs/>
        </w:rPr>
        <w:t xml:space="preserve">pattern</w:t>
      </w:r>
      <w:r>
        <w:rPr/>
        <w:t xml:space="preserve">.</w:t>
      </w:r>
    </w:p>
    <w:p>
      <w:pPr>
        <w:pStyle w:val="rVersHead"/>
        <w:widowControl w:val="on"/>
      </w:pPr>
      <w:r>
        <w:rPr/>
        <w:t xml:space="preserve">The Ark of the Covenant</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FootnoteReference"/>
        </w:rPr>
        <w:footnoteReference w:id="17397"/>
      </w:r>
      <w:r>
        <w:rPr/>
        <w:t xml:space="preserve"> its width a cubit and a half,</w:t>
      </w:r>
      <w:r>
        <w:rPr>
          <w:rStyle w:val="FootnoteReference"/>
        </w:rPr>
        <w:footnoteReference w:id="20515"/>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17</w:t>
      </w:r>
      <w:r>
        <w:rPr/>
        <w:t xml:space="preserve">“You are to make an atonement-cover of pure gold. Its length is to be two and a half cubits</w:t>
      </w:r>
      <w:r>
        <w:rPr>
          <w:rStyle w:val="FootnoteReference"/>
        </w:rPr>
        <w:footnoteReference w:id="16324"/>
      </w:r>
      <w:r>
        <w:rPr/>
        <w:t xml:space="preserve"> and its width is to be a cubit and a half.</w:t>
      </w:r>
      <w:r>
        <w:rPr>
          <w:rStyle w:val="FootnoteReference"/>
        </w:rPr>
        <w:footnoteReference w:id="14989"/>
      </w:r>
      <w:r>
        <w:rPr/>
        <w:t xml:space="preserve"> </w:t>
      </w:r>
      <w:r>
        <w:rPr>
          <w:rStyle w:val="rSupStyle"/>
          <w:vertAlign w:val="superscript"/>
        </w:rPr>
        <w:t xml:space="preserve">18</w:t>
      </w:r>
      <w:r>
        <w:rPr/>
        <w:t xml:space="preserve">You are to make two cherubim of gold; make them of hammered work at the two ends of the atonement-cover.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atonement-cover you are to make the cherubim on its two ends. </w:t>
      </w:r>
      <w:r>
        <w:rPr>
          <w:rStyle w:val="rSupStyle"/>
          <w:vertAlign w:val="superscript"/>
        </w:rPr>
        <w:t xml:space="preserve">20</w:t>
      </w:r>
      <w:r>
        <w:rPr/>
        <w:t xml:space="preserve">The cherubim are to spread out their wings above </w:t>
      </w:r>
      <w:r>
        <w:rPr>
          <w:i/>
          <w:iCs/>
        </w:rPr>
        <w:t xml:space="preserve">it</w:t>
      </w:r>
      <w:r>
        <w:rPr/>
        <w:t xml:space="preserve">, covering the atonement-cover with their wings, facing one another, and their faces are to be </w:t>
      </w:r>
      <w:r>
        <w:rPr>
          <w:i/>
          <w:iCs/>
        </w:rPr>
        <w:t xml:space="preserve">looking</w:t>
      </w:r>
      <w:r>
        <w:rPr/>
        <w:t xml:space="preserve"> toward the atonement-cover. </w:t>
      </w:r>
      <w:r>
        <w:rPr>
          <w:rStyle w:val="rSupStyle"/>
          <w:vertAlign w:val="superscript"/>
        </w:rPr>
        <w:t xml:space="preserve">21</w:t>
      </w:r>
      <w:r>
        <w:rPr/>
        <w:t xml:space="preserve">You are to put the atonement-cover on top of the ark, and in the ark you are to put the testimony that I will give you, </w:t>
      </w:r>
      <w:r>
        <w:rPr>
          <w:rStyle w:val="rSupStyle"/>
          <w:vertAlign w:val="superscript"/>
        </w:rPr>
        <w:t xml:space="preserve">22</w:t>
      </w:r>
      <w:r>
        <w:rPr/>
        <w:t xml:space="preserve">and I will meet with you there, from above the atonement-cover—from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FootnoteReference"/>
        </w:rPr>
        <w:footnoteReference w:id="24844"/>
      </w:r>
      <w:r>
        <w:rPr/>
        <w:t xml:space="preserve"> and its width is to be a cubit,</w:t>
      </w:r>
      <w:r>
        <w:rPr>
          <w:rStyle w:val="FootnoteReference"/>
        </w:rPr>
        <w:footnoteReference w:id="13992"/>
      </w:r>
      <w:r>
        <w:rPr/>
        <w:t xml:space="preserve"> and its height is to be one and a half cubits.</w:t>
      </w:r>
      <w:r>
        <w:rPr>
          <w:rStyle w:val="FootnoteReference"/>
        </w:rPr>
        <w:footnoteReference w:id="29293"/>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w:t>
      </w:r>
      <w:r>
        <w:rPr>
          <w:i/>
          <w:iCs/>
        </w:rPr>
        <w:t xml:space="preserve">on it</w:t>
      </w:r>
      <w:r>
        <w:rPr/>
        <w:t xml:space="preserve">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FootnoteReference"/>
        </w:rPr>
        <w:footnoteReference w:id="30790"/>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FootnoteReference"/>
        </w:rPr>
        <w:footnoteReference w:id="25949"/>
      </w:r>
      <w:r>
        <w:rPr/>
        <w:t xml:space="preserve"> and the width of each curtain four cubits;</w:t>
      </w:r>
      <w:r>
        <w:rPr>
          <w:rStyle w:val="FootnoteReference"/>
        </w:rPr>
        <w:footnoteReference w:id="13409"/>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FootnoteReference"/>
        </w:rPr>
        <w:footnoteReference w:id="29890"/>
      </w:r>
      <w:r>
        <w:rPr/>
        <w:t xml:space="preserve"> and the width of each curtain four cubits.</w:t>
      </w:r>
      <w:r>
        <w:rPr>
          <w:rStyle w:val="FootnoteReference"/>
        </w:rPr>
        <w:footnoteReference w:id="10502"/>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FootnoteReference"/>
        </w:rPr>
        <w:footnoteReference w:id="11169"/>
      </w:r>
      <w:r>
        <w:rPr/>
        <w:t xml:space="preserve"> and the width of each board is to be one and a half cubits.</w:t>
      </w:r>
      <w:r>
        <w:rPr>
          <w:rStyle w:val="FootnoteReference"/>
        </w:rPr>
        <w:footnoteReference w:id="24873"/>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FootnoteReference"/>
        </w:rPr>
        <w:footnoteReference w:id="17787"/>
      </w:r>
      <w:r>
        <w:rPr/>
        <w:t xml:space="preserve"> The altar must be square, and its height must be three cubits.</w:t>
      </w:r>
      <w:r>
        <w:rPr>
          <w:rStyle w:val="FootnoteReference"/>
        </w:rPr>
        <w:footnoteReference w:id="30139"/>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FootnoteReference"/>
        </w:rPr>
        <w:footnoteReference w:id="23578"/>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FootnoteReference"/>
        </w:rPr>
        <w:footnoteReference w:id="10811"/>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FootnoteReference"/>
        </w:rPr>
        <w:footnoteReference w:id="30984"/>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FootnoteReference"/>
        </w:rPr>
        <w:footnoteReference w:id="28730"/>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FootnoteReference"/>
        </w:rPr>
        <w:footnoteReference w:id="30647"/>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FootnoteReference"/>
        </w:rPr>
        <w:footnoteReference w:id="10566"/>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FootnoteReference"/>
        </w:rPr>
        <w:footnoteReference w:id="18117"/>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FootnoteReference"/>
        </w:rPr>
        <w:footnoteReference w:id="11223"/>
      </w:r>
      <w:r>
        <w:rPr/>
        <w:t xml:space="preserve"> and the width 50 </w:t>
      </w:r>
      <w:r>
        <w:rPr>
          <w:i/>
          <w:iCs/>
        </w:rPr>
        <w:t xml:space="preserve">cubits</w:t>
      </w:r>
      <w:r>
        <w:rPr>
          <w:rStyle w:val="FootnoteReference"/>
        </w:rPr>
        <w:footnoteReference w:id="15985"/>
      </w:r>
      <w:r>
        <w:rPr/>
        <w:t xml:space="preserve"> throughout, and the height is to be five cubits,</w:t>
      </w:r>
      <w:r>
        <w:rPr>
          <w:rStyle w:val="FootnoteReference"/>
        </w:rPr>
        <w:footnoteReference w:id="29648"/>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FootnoteReference"/>
        </w:rPr>
        <w:footnoteReference w:id="18265"/>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FootnoteReference"/>
        </w:rPr>
        <w:footnoteReference w:id="27112"/>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all around on the altar.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pleasing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all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pleasing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that is contributed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Whoever touches the altar must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FootnoteReference"/>
        </w:rPr>
        <w:footnoteReference w:id="31046"/>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pleasing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FootnoteReference"/>
        </w:rPr>
        <w:footnoteReference w:id="21254"/>
      </w:r>
      <w:r>
        <w:rPr/>
        <w:t xml:space="preserve"> It must be square, and its height must be two cubits.</w:t>
      </w:r>
      <w:r>
        <w:rPr>
          <w:rStyle w:val="FootnoteReference"/>
        </w:rPr>
        <w:footnoteReference w:id="20747"/>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You are to make them on its two side-walls, on its two </w:t>
      </w:r>
      <w:r>
        <w:rPr>
          <w:i/>
          <w:iCs/>
        </w:rPr>
        <w:t xml:space="preserve">opposite</w:t>
      </w:r>
      <w:r>
        <w:rPr/>
        <w:t xml:space="preserve"> sides, and they will be for places for poles to carry it with.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atonement-cover that is over the testimony 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FootnoteReference"/>
        </w:rPr>
        <w:footnoteReference w:id="16662"/>
      </w:r>
      <w:r>
        <w:rPr/>
        <w:t xml:space="preserve"> according to the shekel of the holy </w:t>
      </w:r>
      <w:r>
        <w:rPr>
          <w:i/>
          <w:iCs/>
        </w:rPr>
        <w:t xml:space="preserve">Tabernacle</w:t>
      </w:r>
      <w:r>
        <w:rPr/>
        <w:t xml:space="preserve">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from it. </w:t>
      </w:r>
      <w:r>
        <w:rPr>
          <w:rStyle w:val="rSupStyle"/>
          <w:vertAlign w:val="superscript"/>
        </w:rPr>
        <w:t xml:space="preserve">20</w:t>
      </w:r>
      <w:r>
        <w:rPr/>
        <w:t xml:space="preserve">When they go into the Tent of Meeting, they must wash with water so that they do not die. Or, </w:t>
      </w:r>
      <w:r>
        <w:rPr>
          <w:i/>
          <w:iCs/>
        </w:rPr>
        <w:t xml:space="preserve">even</w:t>
      </w:r>
      <w:r>
        <w:rPr/>
        <w:t xml:space="preserve">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FootnoteReference"/>
        </w:rPr>
        <w:footnoteReference w:id="11279"/>
      </w:r>
      <w:r>
        <w:rPr/>
        <w:t xml:space="preserve"> of fine-grained myrrh,</w:t>
      </w:r>
      <w:r>
        <w:rPr>
          <w:rStyle w:val="FootnoteReference"/>
        </w:rPr>
        <w:footnoteReference w:id="10355"/>
      </w:r>
      <w:r>
        <w:rPr/>
        <w:t xml:space="preserve"> and of fragrant cinnamon half as much, 250;</w:t>
      </w:r>
      <w:r>
        <w:rPr>
          <w:rStyle w:val="FootnoteReference"/>
        </w:rPr>
        <w:footnoteReference w:id="25526"/>
      </w:r>
      <w:r>
        <w:rPr/>
        <w:t xml:space="preserve"> and of fragrant cane, 250; </w:t>
      </w:r>
      <w:r>
        <w:rPr>
          <w:rStyle w:val="rSupStyle"/>
          <w:vertAlign w:val="superscript"/>
        </w:rPr>
        <w:t xml:space="preserve">24</w:t>
      </w:r>
      <w:r>
        <w:rPr/>
        <w:t xml:space="preserve">and of cassia, 500, according to the shekel of the holy </w:t>
      </w:r>
      <w:r>
        <w:rPr>
          <w:i/>
          <w:iCs/>
        </w:rPr>
        <w:t xml:space="preserve">Tabernacle</w:t>
      </w:r>
      <w:r>
        <w:rPr/>
        <w:t xml:space="preserve">;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Whoever touches them must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in front of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garments for officiating—the holy garments for Aaron the priest and the garments for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to the children of Israel, saying, ‘However,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holy for you. Everyone who defiles it must be put to death, yes, death! For whoever does any work on it, that soul</w:t>
      </w:r>
      <w:r>
        <w:rPr>
          <w:rStyle w:val="FootnoteReference"/>
        </w:rPr>
        <w:footnoteReference w:id="22446"/>
      </w:r>
      <w:r>
        <w:rPr/>
        <w:t xml:space="preserve"> must be cut off from among his people. </w:t>
      </w:r>
      <w:r>
        <w:rPr>
          <w:rStyle w:val="rSupStyle"/>
          <w:vertAlign w:val="superscript"/>
        </w:rPr>
        <w:t xml:space="preserve">15</w:t>
      </w:r>
      <w:r>
        <w:rPr/>
        <w:t xml:space="preserve">Six days work is to be done, but on the seventh day there is </w:t>
      </w:r>
      <w:r>
        <w:rPr>
          <w:i/>
          <w:iCs/>
        </w:rPr>
        <w:t xml:space="preserve">to be</w:t>
      </w:r>
      <w:r>
        <w:rPr/>
        <w:t xml:space="preserve">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observing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When Yahweh</w:t>
      </w:r>
      <w:r>
        <w:rPr>
          <w:rStyle w:val="FootnoteReference"/>
        </w:rPr>
        <w:footnoteReference w:id="31314"/>
      </w:r>
      <w:r>
        <w:rPr/>
        <w:t xml:space="preserve"> finished speaking with him on Mount Sinai, he gave to Moses the two tablets of the testimony, tablets of stone, written by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FootnoteReference"/>
        </w:rPr>
        <w:footnoteReference w:id="21947"/>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“Take off the golden rings that are in the ears of your wives, of your sons, and of your daughters, and bring them to me.” </w:t>
      </w:r>
      <w:r>
        <w:rPr>
          <w:rStyle w:val="rSupStyle"/>
          <w:vertAlign w:val="superscript"/>
        </w:rPr>
        <w:t xml:space="preserve">3</w:t>
      </w:r>
      <w:r>
        <w:rPr/>
        <w:t xml:space="preserve">So all the people took off the golden rings that were in their ears and brought them to Aaron. </w:t>
      </w:r>
      <w:r>
        <w:rPr>
          <w:rStyle w:val="rSupStyle"/>
          <w:vertAlign w:val="superscript"/>
        </w:rPr>
        <w:t xml:space="preserve">4</w:t>
      </w:r>
      <w:r>
        <w:rPr/>
        <w:t xml:space="preserve">He took </w:t>
      </w:r>
      <w:r>
        <w:rPr>
          <w:i/>
          <w:iCs/>
        </w:rPr>
        <w:t xml:space="preserve">the jewelry</w:t>
      </w:r>
      <w:r>
        <w:rPr/>
        <w:t xml:space="preserve"> from their hands and fashioned it with an engraving tool, and made it into a metal calf.</w:t>
      </w:r>
    </w:p>
    <w:p>
      <w:pPr>
        <w:pStyle w:val="rNormal"/>
        <w:widowControl w:val="on"/>
        <w:spacing w:before="240" w:after="240" w:line="240" w:lineRule="auto"/>
        <w:ind w:left="0" w:right="0"/>
        <w:jc w:val="left"/>
      </w:pPr>
      <w:r>
        <w:rPr/>
        <w:t xml:space="preserve">And they said, “These are your gods,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got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wrought corruption! </w:t>
      </w:r>
      <w:r>
        <w:rPr>
          <w:rStyle w:val="rSupStyle"/>
          <w:vertAlign w:val="superscript"/>
        </w:rPr>
        <w:t xml:space="preserve">8</w:t>
      </w:r>
      <w:r>
        <w:rPr/>
        <w:t xml:space="preserve">They have turned aside quickly from the way that I commanded them. They have made for themselves a metal calf and have bowed down to it</w:t>
      </w:r>
      <w:r>
        <w:rPr>
          <w:rStyle w:val="FootnoteReference"/>
        </w:rPr>
        <w:footnoteReference w:id="12027"/>
      </w:r>
      <w:r>
        <w:rPr/>
        <w:t xml:space="preserve"> and have sacrificed to it, and said, ‘These are your gods, O Israel, that brought you up out of the land of Egypt.’” </w:t>
      </w:r>
      <w:r>
        <w:rPr>
          <w:rStyle w:val="rSupStyle"/>
          <w:vertAlign w:val="superscript"/>
        </w:rPr>
        <w:t xml:space="preserve">9</w:t>
      </w:r>
      <w:r>
        <w:rPr/>
        <w:t xml:space="preserve">Yahweh said to Moses, “I have seen this people, and behold, it is a stiff-necked people. </w:t>
      </w:r>
      <w:r>
        <w:rPr>
          <w:rStyle w:val="rSupStyle"/>
          <w:vertAlign w:val="superscript"/>
        </w:rPr>
        <w:t xml:space="preserve">10</w:t>
      </w:r>
      <w:r>
        <w:rPr/>
        <w:t xml:space="preserve">So now, leave me alone so that my wrath can burn hot against them and I can consume them, and I will make you become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wipe them from the 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that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the writing of God,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w:t>
      </w:r>
      <w:r>
        <w:rPr>
          <w:rStyle w:val="FootnoteReference"/>
        </w:rPr>
        <w:footnoteReference w:id="28896"/>
      </w:r>
      <w:r>
        <w:rPr/>
        <w:t xml:space="preserve">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a song of victory,</w:t>
            </w:r>
          </w:p>
          <w:p>
            <w:pPr>
              <w:pStyle w:val="rHP"/>
              <w:widowControl w:val="on"/>
            </w:pPr>
            <w:r>
              <w:rPr/>
              <w:t xml:space="preserve">nor is it the sound of a song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Then 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w:t>
      </w:r>
      <w:r>
        <w:rPr>
          <w:rStyle w:val="FootnoteReference"/>
        </w:rPr>
        <w:footnoteReference w:id="12526"/>
      </w:r>
      <w:r>
        <w:rPr/>
        <w:t xml:space="preserve">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burn hot. You yourself know this people, how set on evil they are.</w:t>
      </w:r>
      <w:r>
        <w:rPr>
          <w:rStyle w:val="FootnoteReference"/>
        </w:rPr>
        <w:footnoteReference w:id="31679"/>
      </w:r>
      <w:r>
        <w:rPr/>
        <w:t xml:space="preserve"> </w:t>
      </w:r>
      <w:r>
        <w:rPr>
          <w:rStyle w:val="rSupStyle"/>
          <w:vertAlign w:val="superscript"/>
        </w:rPr>
        <w:t xml:space="preserve">23</w:t>
      </w:r>
      <w:r>
        <w:rPr/>
        <w:t xml:space="preserve">For they said to me, ‘Make us gods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take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the people, that they were running wild, (for Aaron had let them run wild, resulting in their being a laughingstock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gate to gate throughout the camp, and every man kill his brother, and every man his neighbor, and every man his relative.’”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ordained to </w:t>
      </w:r>
      <w:r>
        <w:rPr>
          <w:i/>
          <w:iCs/>
        </w:rPr>
        <w:t xml:space="preserve">serve</w:t>
      </w:r>
      <w:r>
        <w:rPr/>
        <w:t xml:space="preserve"> Yahweh, for every man was against his son and against his brother, resulting in a blessing being put on you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sent a plague on the people because they made the calf, </w:t>
      </w:r>
      <w:r>
        <w:rPr>
          <w:i/>
          <w:iCs/>
        </w:rPr>
        <w:t xml:space="preserve">the one</w:t>
      </w:r>
      <w:r>
        <w:rPr/>
        <w:t xml:space="preserv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lest I consume you on the way, for you are a stiff-necked people.” </w:t>
      </w:r>
      <w:r>
        <w:rPr>
          <w:rStyle w:val="rSupStyle"/>
          <w:vertAlign w:val="superscript"/>
        </w:rPr>
        <w:t xml:space="preserve">4</w:t>
      </w:r>
      <w:r>
        <w:rPr/>
        <w:t xml:space="preserve">When the people heard this bad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So now take off your jewelry so that I will know what to do to you.’” </w:t>
      </w:r>
      <w:r>
        <w:rPr>
          <w:rStyle w:val="rSupStyle"/>
          <w:vertAlign w:val="superscript"/>
        </w:rPr>
        <w:t xml:space="preserve">6</w:t>
      </w:r>
      <w:r>
        <w:rPr/>
        <w:t xml:space="preserve">So children of Israel stripped themselves of their jewelry from Mount Horeb on.</w:t>
      </w:r>
    </w:p>
    <w:p>
      <w:pPr>
        <w:pStyle w:val="rNormal"/>
        <w:widowControl w:val="on"/>
        <w:spacing w:before="240" w:after="0" w:line="240" w:lineRule="auto"/>
        <w:ind w:left="0" w:right="0"/>
        <w:jc w:val="left"/>
      </w:pPr>
      <w:r>
        <w:rPr>
          <w:rStyle w:val="rSupStyle"/>
          <w:vertAlign w:val="superscript"/>
        </w:rPr>
        <w:t xml:space="preserve">7</w:t>
      </w:r>
      <w:r>
        <w:rPr/>
        <w:t xml:space="preserve">Then Moses took the tent and pitched it outside the camp, far away from the camp, and he called it the “Tent of Meeting.” And everyone who sought Yahweh went out to the Tent of Meeting, which was outside the camp. </w:t>
      </w:r>
      <w:r>
        <w:rPr>
          <w:rStyle w:val="rSupStyle"/>
          <w:vertAlign w:val="superscript"/>
        </w:rPr>
        <w:t xml:space="preserve">8</w:t>
      </w:r>
      <w:r>
        <w:rPr/>
        <w:t xml:space="preserve">And whenever Moses went out to the Tent, all the people would rise up and stand, everyone at their tent entrance, and watch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FootnoteReference"/>
        </w:rPr>
        <w:footnoteReference w:id="11248"/>
      </w:r>
      <w:r>
        <w:rPr/>
        <w:t xml:space="preserve"> spoke with Moses. </w:t>
      </w:r>
      <w:r>
        <w:rPr>
          <w:rStyle w:val="rSupStyle"/>
          <w:vertAlign w:val="superscript"/>
        </w:rPr>
        <w:t xml:space="preserve">10</w:t>
      </w:r>
      <w:r>
        <w:rPr/>
        <w:t xml:space="preserve">All the people saw the pillar of cloud standing at the entrance of the Tent and all the people got up and bowed down,</w:t>
      </w:r>
      <w:r>
        <w:rPr>
          <w:rStyle w:val="FootnoteReference"/>
        </w:rPr>
        <w:footnoteReference w:id="30337"/>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FootnoteReference"/>
        </w:rPr>
        <w:footnoteReference w:id="30161"/>
      </w:r>
      <w:r>
        <w:rPr/>
        <w:t xml:space="preserve"> would return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have known you by name, and you have also found favor in my eyes.’ </w:t>
      </w:r>
      <w:r>
        <w:rPr>
          <w:rStyle w:val="rSupStyle"/>
          <w:vertAlign w:val="superscript"/>
        </w:rPr>
        <w:t xml:space="preserve">13</w:t>
      </w:r>
      <w:r>
        <w:rPr/>
        <w:t xml:space="preserve">Now therefore, if I have found favor in your eyes, please show me your ways so that I may know you in order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w:t>
      </w:r>
      <w:r>
        <w:rPr>
          <w:rStyle w:val="FootnoteReference"/>
        </w:rPr>
        <w:footnoteReference w:id="19964"/>
      </w:r>
      <w:r>
        <w:rPr/>
        <w:t xml:space="preserve"> will go,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w:t>
      </w:r>
      <w:r>
        <w:rPr>
          <w:rStyle w:val="FootnoteReference"/>
        </w:rPr>
        <w:footnoteReference w:id="24211"/>
      </w:r>
      <w:r>
        <w:rPr/>
        <w:t xml:space="preserve"> does not go, do not bring us up from here. </w:t>
      </w:r>
      <w:r>
        <w:rPr>
          <w:rStyle w:val="rSupStyle"/>
          <w:vertAlign w:val="superscript"/>
        </w:rPr>
        <w:t xml:space="preserve">16</w:t>
      </w:r>
      <w:r>
        <w:rPr/>
        <w:t xml:space="preserve">For how would it be known that I have found favor in your eyes, I and your people? Is it not because you go with us that we are distinct, I and your people, from all the people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“Also, I will do what you have asked, for you have found favor in my eyes, and I have known you by name.”</w:t>
      </w:r>
    </w:p>
    <w:p>
      <w:pPr>
        <w:pStyle w:val="rNormal"/>
        <w:widowControl w:val="on"/>
        <w:spacing w:before="240" w:after="0" w:line="240" w:lineRule="auto"/>
        <w:ind w:left="0" w:right="0"/>
        <w:jc w:val="left"/>
      </w:pPr>
      <w:r>
        <w:rPr>
          <w:rStyle w:val="rSupStyle"/>
          <w:vertAlign w:val="superscript"/>
        </w:rPr>
        <w:t xml:space="preserve">18</w:t>
      </w:r>
      <w:r>
        <w:rPr/>
        <w:t xml:space="preserve">Then 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in front of you and will proclaim the name of Yahweh before you. I will be gracious to whom I will be gracious, and will be merciful to whom I will be merciful.” </w:t>
      </w:r>
      <w:r>
        <w:rPr>
          <w:rStyle w:val="rSupStyle"/>
          <w:vertAlign w:val="superscript"/>
        </w:rPr>
        <w:t xml:space="preserve">20</w:t>
      </w:r>
      <w:r>
        <w:rPr/>
        <w:t xml:space="preserve">But he said, “You cannot see my face, for no human can see me and live.” </w:t>
      </w:r>
      <w:r>
        <w:rPr>
          <w:rStyle w:val="rSupStyle"/>
          <w:vertAlign w:val="superscript"/>
        </w:rPr>
        <w:t xml:space="preserve">21</w:t>
      </w:r>
      <w:r>
        <w:rPr/>
        <w:t xml:space="preserve">Yahweh also said, “Look, there is a place near me; stand </w:t>
      </w:r>
      <w:r>
        <w:rPr>
          <w:i/>
          <w:iCs/>
        </w:rPr>
        <w:t xml:space="preserve">there</w:t>
      </w:r>
      <w:r>
        <w:rPr/>
        <w:t xml:space="preserve"> on the rock</w:t>
      </w:r>
      <w:r>
        <w:rPr>
          <w:rStyle w:val="FootnoteReference"/>
        </w:rPr>
        <w:footnoteReference w:id="23597"/>
      </w:r>
      <w:r>
        <w:rPr/>
        <w:t xml:space="preserve">. </w:t>
      </w:r>
      <w:r>
        <w:rPr>
          <w:rStyle w:val="rSupStyle"/>
          <w:vertAlign w:val="superscript"/>
        </w:rPr>
        <w:t xml:space="preserve">22</w:t>
      </w:r>
      <w:r>
        <w:rPr/>
        <w:t xml:space="preserve">And while my glory passes by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out two stone tablets like the first, and I will write on the tablets the words that were on the first tablets, which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is to come up with you, and do not let anyone be seen on all the mountain, </w:t>
      </w:r>
      <w:r>
        <w:rPr>
          <w:i/>
          <w:iCs/>
        </w:rPr>
        <w:t xml:space="preserve">and</w:t>
      </w:r>
      <w:r>
        <w:rPr/>
        <w:t xml:space="preserve"> also, do not let the flocks or herds graze in front of that mountain.”</w:t>
      </w:r>
    </w:p>
    <w:p>
      <w:pPr>
        <w:pStyle w:val="rNormal"/>
        <w:widowControl w:val="on"/>
        <w:spacing w:before="240" w:after="0" w:line="240" w:lineRule="auto"/>
        <w:ind w:left="0" w:right="0"/>
        <w:jc w:val="left"/>
      </w:pPr>
      <w:r>
        <w:rPr>
          <w:rStyle w:val="rSupStyle"/>
          <w:vertAlign w:val="superscript"/>
        </w:rPr>
        <w:t xml:space="preserve">4</w:t>
      </w:r>
      <w:r>
        <w:rPr/>
        <w:t xml:space="preserve">So he chiseled out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came down in the cloud and stood with him there, and he called on the name of Yahweh. </w:t>
      </w:r>
      <w:r>
        <w:rPr>
          <w:rStyle w:val="rSupStyle"/>
          <w:vertAlign w:val="superscript"/>
        </w:rPr>
        <w:t xml:space="preserve">6</w:t>
      </w:r>
      <w:r>
        <w:rPr/>
        <w:t xml:space="preserve">Yahweh passed before his face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but who will by no means clear, yes, clear </w:t>
      </w:r>
      <w:r>
        <w:rPr>
          <w:i/>
          <w:iCs/>
        </w:rPr>
        <w:t xml:space="preserve">the guilty</w:t>
      </w:r>
      <w:r>
        <w:rPr/>
        <w:t xml:space="preserve">, visiting the iniquity of the fathers on the children, and on the children’s children, on the third and on the fourth </w:t>
      </w:r>
      <w:r>
        <w:rPr>
          <w:i/>
          <w:iCs/>
        </w:rPr>
        <w:t xml:space="preserve">generation</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FootnoteReference"/>
        </w:rPr>
        <w:footnoteReference w:id="19255"/>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and pardon our iniquity and our sin and make us your inheritance.”</w:t>
      </w:r>
      <w:r>
        <w:rPr>
          <w:rStyle w:val="FootnoteReference"/>
        </w:rPr>
        <w:footnoteReference w:id="16376"/>
      </w:r>
      <w:r>
        <w:rPr/>
        <w:t xml:space="preserve"> </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wonders such as have not been created in any land or in any of the nations, and all the people that you </w:t>
      </w:r>
      <w:r>
        <w:rPr>
          <w:i/>
          <w:iCs/>
        </w:rPr>
        <w:t xml:space="preserve">live</w:t>
      </w:r>
      <w:r>
        <w:rPr/>
        <w:t xml:space="preserve"> among will see the work of Yahweh, for it is an awesome</w:t>
      </w:r>
      <w:r>
        <w:rPr>
          <w:rStyle w:val="FootnoteReference"/>
        </w:rPr>
        <w:footnoteReference w:id="16822"/>
      </w:r>
      <w:r>
        <w:rPr/>
        <w:t xml:space="preserve"> thing that I do with you. </w:t>
      </w:r>
      <w:r>
        <w:rPr>
          <w:rStyle w:val="rSupStyle"/>
          <w:vertAlign w:val="superscript"/>
        </w:rPr>
        <w:t xml:space="preserve">11</w:t>
      </w:r>
      <w:r>
        <w:rPr/>
        <w:t xml:space="preserve">Keep what I command you this day. Behold, I am driving out before you the Amorite, the Canaanite, the Hittite, the Perizzite, the Hivite, and the Jebusite. </w:t>
      </w:r>
      <w:r>
        <w:rPr>
          <w:rStyle w:val="rSupStyle"/>
          <w:vertAlign w:val="superscript"/>
        </w:rPr>
        <w:t xml:space="preserve">12</w:t>
      </w:r>
      <w:r>
        <w:rPr/>
        <w:t xml:space="preserve">Take care not to cut a covenant with the inhabitants of the land into which you are going, or it will become a snare in your midst.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w:t>
      </w:r>
      <w:r>
        <w:rPr>
          <w:i/>
          <w:iCs/>
        </w:rPr>
        <w:t xml:space="preserve">poles</w:t>
      </w:r>
      <w:r>
        <w:rPr/>
        <w:t xml:space="preserve">, </w:t>
      </w:r>
      <w:r>
        <w:rPr>
          <w:rStyle w:val="rSupStyle"/>
          <w:vertAlign w:val="superscript"/>
        </w:rPr>
        <w:t xml:space="preserve">14</w:t>
      </w:r>
      <w:r>
        <w:rPr/>
        <w:t xml:space="preserve">for you are to worship</w:t>
      </w:r>
      <w:r>
        <w:rPr>
          <w:rStyle w:val="FootnoteReference"/>
        </w:rPr>
        <w:footnoteReference w:id="22783"/>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when they prostitute themselves to their gods and sacrifice to their gods and someone invites you and you eat of his sacrifice, </w:t>
      </w:r>
      <w:r>
        <w:rPr>
          <w:rStyle w:val="rSupStyle"/>
          <w:vertAlign w:val="superscript"/>
        </w:rPr>
        <w:t xml:space="preserve">16</w:t>
      </w:r>
      <w:r>
        <w:rPr/>
        <w:t xml:space="preserve">and you take of their daughters for your sons, and their daughters prostitute themselves after their gods, then they will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metal gods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As I commanded you, seven days you are to eat unleavened bread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born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empty-handed.</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w:t>
      </w:r>
      <w:r>
        <w:rPr>
          <w:i/>
          <w:iCs/>
        </w:rPr>
        <w:t xml:space="preserve">even</w:t>
      </w:r>
      <w:r>
        <w:rPr/>
        <w:t xml:space="preserve">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keep the Feast of Weeks—the firstfruits of the wheat harvest—and the Feast of Ingathering at the year’s end. </w:t>
      </w:r>
      <w:r>
        <w:rPr>
          <w:rStyle w:val="rSupStyle"/>
          <w:vertAlign w:val="superscript"/>
        </w:rPr>
        <w:t xml:space="preserve">23</w:t>
      </w:r>
      <w:r>
        <w:rPr/>
        <w:t xml:space="preserve">Three times in the year all your males are to appear before the face of the Lord Yahweh, the God of Israel. </w:t>
      </w:r>
      <w:r>
        <w:rPr>
          <w:rStyle w:val="rSupStyle"/>
          <w:vertAlign w:val="superscript"/>
        </w:rPr>
        <w:t xml:space="preserve">24</w:t>
      </w:r>
      <w:r>
        <w:rPr/>
        <w:t xml:space="preserve">For I will drive out nations before you and enlarge your territory. No one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sacrifices with </w:t>
      </w:r>
      <w:r>
        <w:rPr>
          <w:i/>
          <w:iCs/>
        </w:rPr>
        <w:t xml:space="preserve">anything</w:t>
      </w:r>
      <w:r>
        <w:rPr/>
        <w:t xml:space="preserve"> leavened, and the sacrifice of the feast of the Passover is not to be left until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for 40 days and 40 nights; he did not eat bread or drink water. Yahweh</w:t>
      </w:r>
      <w:r>
        <w:rPr>
          <w:rStyle w:val="FootnoteReference"/>
        </w:rPr>
        <w:footnoteReference w:id="27554"/>
      </w:r>
      <w:r>
        <w:rPr/>
        <w:t xml:space="preserve"> wrote on the tablets the words of the covenant, the Ten Commandments.</w:t>
      </w:r>
      <w:r>
        <w:rPr>
          <w:rStyle w:val="FootnoteReference"/>
        </w:rPr>
        <w:footnoteReference w:id="26026"/>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And when Moses came down from Mount Sinai with the two tablets of the testimony in Moses’ hand, when he came down from the mountain, Moses did not know that the skin of his face was shining because of his having spoken with him. </w:t>
      </w:r>
      <w:r>
        <w:rPr>
          <w:rStyle w:val="rSupStyle"/>
          <w:vertAlign w:val="superscript"/>
        </w:rPr>
        <w:t xml:space="preserve">30</w:t>
      </w:r>
      <w:r>
        <w:rPr/>
        <w:t xml:space="preserve">When Aaron and all the children of Israel saw Moses, behold, the skin of his face was shining,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commanded them all that Yahweh had spoken with him on Mount Sinai. </w:t>
      </w:r>
      <w:r>
        <w:rPr>
          <w:rStyle w:val="rSupStyle"/>
          <w:vertAlign w:val="superscript"/>
        </w:rPr>
        <w:t xml:space="preserve">33</w:t>
      </w:r>
      <w:r>
        <w:rPr/>
        <w:t xml:space="preserve">When Moses had finished speaking with them, he put a veil on his face. </w:t>
      </w:r>
      <w:r>
        <w:rPr>
          <w:rStyle w:val="rSupStyle"/>
          <w:vertAlign w:val="superscript"/>
        </w:rPr>
        <w:t xml:space="preserve">34</w:t>
      </w:r>
      <w:r>
        <w:rPr/>
        <w:t xml:space="preserve">But when Moses would come before Yahweh to speak with him, he took the veil off until he came out. And when he came out and spoke to the children of Israel what he had been commanded, </w:t>
      </w:r>
      <w:r>
        <w:rPr>
          <w:rStyle w:val="rSupStyle"/>
          <w:vertAlign w:val="superscript"/>
        </w:rPr>
        <w:t xml:space="preserve">35</w:t>
      </w:r>
      <w:r>
        <w:rPr/>
        <w:t xml:space="preserve">the children of Israel saw Moses’ face, that the skin of Moses’ face was shining, so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to do. </w:t>
      </w:r>
      <w:r>
        <w:rPr>
          <w:rStyle w:val="rSupStyle"/>
          <w:vertAlign w:val="superscript"/>
        </w:rPr>
        <w:t xml:space="preserve">2</w:t>
      </w:r>
      <w:r>
        <w:rPr/>
        <w:t xml:space="preserve">‘Six days work is to be done, but on the seventh day there is to be a holy </w:t>
      </w:r>
      <w:r>
        <w:rPr>
          <w:i/>
          <w:iCs/>
        </w:rPr>
        <w:t xml:space="preserve">day</w:t>
      </w:r>
      <w:r>
        <w:rPr/>
        <w:t xml:space="preserve"> for you, </w:t>
      </w:r>
      <w:r>
        <w:rPr>
          <w:i/>
          <w:iCs/>
        </w:rPr>
        <w:t xml:space="preserve">a Sabbath of complete rest</w:t>
      </w:r>
      <w:r>
        <w:rPr/>
        <w:t xml:space="preserve">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word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tent and its covering, its clasps, its boards, its bars, its pillars, and its bases. </w:t>
      </w:r>
      <w:r>
        <w:rPr>
          <w:rStyle w:val="rSupStyle"/>
          <w:vertAlign w:val="superscript"/>
        </w:rPr>
        <w:t xml:space="preserve">12</w:t>
      </w:r>
      <w:r>
        <w:rPr/>
        <w:t xml:space="preserve">The ark with its poles, the atonement-cover,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garments for officiating, for serving in the holy place, the holy garments for Aaron the priest, and the garments for his sons to serve as priests.”</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Then they came—everyone whose heart moved him and everyone whose spirit stirred him up—and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had a willing heart, and brought nose rings, earrings, signet rings and armlets, all sorts of gold objects; even everyone who waved a wave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who had acacia wood for any work of the service </w:t>
      </w:r>
      <w:r>
        <w:rPr>
          <w:i/>
          <w:iCs/>
        </w:rPr>
        <w:t xml:space="preserve">of the Tabernacle</w:t>
      </w:r>
      <w:r>
        <w:rPr/>
        <w:t xml:space="preserve"> brought it. </w:t>
      </w:r>
      <w:r>
        <w:rPr>
          <w:rStyle w:val="rSupStyle"/>
          <w:vertAlign w:val="superscript"/>
        </w:rPr>
        <w:t xml:space="preserve">25</w:t>
      </w:r>
      <w:r>
        <w:rPr/>
        <w:t xml:space="preserve">And all the women who were skillful spun with their hands and brought what they had spun, the blue, the purple, the scarlet and the fine linen. </w:t>
      </w:r>
      <w:r>
        <w:rPr>
          <w:rStyle w:val="rSupStyle"/>
          <w:vertAlign w:val="superscript"/>
        </w:rPr>
        <w:t xml:space="preserve">26</w:t>
      </w:r>
      <w:r>
        <w:rPr/>
        <w:t xml:space="preserve">And all the women whose heart stirred them up skillfully spun the goats’ hair. </w:t>
      </w:r>
      <w:r>
        <w:rPr>
          <w:rStyle w:val="rSupStyle"/>
          <w:vertAlign w:val="superscript"/>
        </w:rPr>
        <w:t xml:space="preserve">27</w:t>
      </w:r>
      <w:r>
        <w:rPr/>
        <w:t xml:space="preserve">The leaders brought the onyx stones and the stones to be mounted on the ephod and on the breastplate, </w:t>
      </w:r>
      <w:r>
        <w:rPr>
          <w:rStyle w:val="rSupStyle"/>
          <w:vertAlign w:val="superscript"/>
        </w:rPr>
        <w:t xml:space="preserve">28</w:t>
      </w:r>
      <w:r>
        <w:rPr/>
        <w:t xml:space="preserve">and the spices, and the oil for the light and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w:t>
      </w:r>
      <w:r>
        <w:rPr>
          <w:i/>
          <w:iCs/>
        </w:rPr>
        <w:t xml:space="preserve">something</w:t>
      </w:r>
      <w:r>
        <w:rPr/>
        <w:t xml:space="preserve"> for all the work that Yahweh, through Moses, had commanded to be made.</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God—with wisdom, with understanding, and with knowledge, and with all kinds of craftmanship </w:t>
      </w:r>
      <w:r>
        <w:rPr>
          <w:rStyle w:val="rSupStyle"/>
          <w:vertAlign w:val="superscript"/>
        </w:rPr>
        <w:t xml:space="preserve">32</w:t>
      </w:r>
      <w:r>
        <w:rPr/>
        <w:t xml:space="preserve">to design artistic designs, to work in gold, in silver, in bronze, </w:t>
      </w:r>
      <w:r>
        <w:rPr>
          <w:rStyle w:val="rSupStyle"/>
          <w:vertAlign w:val="superscript"/>
        </w:rPr>
        <w:t xml:space="preserve">33</w:t>
      </w:r>
      <w:r>
        <w:rPr/>
        <w:t xml:space="preserve">in cutting stones for mounting and in carving wood, to work with all kinds of skillful craftmanship.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skill to do all kinds of craftmanship: engraver; skillful designer; embroiderer in blue, in purple, in scarlet, and in fine linen; and weaver and those who do any craftmanship and those who design artistic designs.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and every skillful man in whom Yahweh has put wisdom and understanding to know how to make all the items for the construction of the holy </w:t>
      </w:r>
      <w:r>
        <w:rPr>
          <w:i/>
          <w:iCs/>
        </w:rPr>
        <w:t xml:space="preserve">place</w:t>
      </w:r>
      <w:r>
        <w:rPr/>
        <w:t xml:space="preserve">, are to make it in accordance with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skillful man in whose heart Yahweh had put wisdom; everyone whose heart moved him to come to make the items. </w:t>
      </w:r>
      <w:r>
        <w:rPr>
          <w:rStyle w:val="rSupStyle"/>
          <w:vertAlign w:val="superscript"/>
        </w:rPr>
        <w:t xml:space="preserve">3</w:t>
      </w:r>
      <w:r>
        <w:rPr/>
        <w:t xml:space="preserve">And they received from Moses all the offering that the children of Israel had brought for the items for the construction of the holy </w:t>
      </w:r>
      <w:r>
        <w:rPr>
          <w:i/>
          <w:iCs/>
        </w:rPr>
        <w:t xml:space="preserve">place</w:t>
      </w:r>
      <w:r>
        <w:rPr/>
        <w:t xml:space="preserve">; what to make it with. They brought to him more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made all the items of the holy </w:t>
      </w:r>
      <w:r>
        <w:rPr>
          <w:i/>
          <w:iCs/>
        </w:rPr>
        <w:t xml:space="preserve">place</w:t>
      </w:r>
      <w:r>
        <w:rPr/>
        <w:t xml:space="preserve"> each came from his items that they were making </w:t>
      </w:r>
      <w:r>
        <w:rPr>
          <w:rStyle w:val="rSupStyle"/>
          <w:vertAlign w:val="superscript"/>
        </w:rPr>
        <w:t xml:space="preserve">5</w:t>
      </w:r>
      <w:r>
        <w:rPr/>
        <w:t xml:space="preserve">and they spoke to Moses, saying, “The people are bringing much more than enough for the construction of the items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So Moses commanded, and they proclaimed throughout the camp, saying, “Let neither man nor woman make any more items for the offering for the holy </w:t>
      </w:r>
      <w:r>
        <w:rPr>
          <w:i/>
          <w:iCs/>
        </w:rPr>
        <w:t xml:space="preserve">place</w:t>
      </w:r>
      <w:r>
        <w:rPr/>
        <w:t xml:space="preserve">.” So the people were stopped from bringing </w:t>
      </w:r>
      <w:r>
        <w:rPr>
          <w:i/>
          <w:iCs/>
        </w:rPr>
        <w:t xml:space="preserve">any more</w:t>
      </w:r>
      <w:r>
        <w:rPr/>
        <w:t xml:space="preserve">. </w:t>
      </w:r>
      <w:r>
        <w:rPr>
          <w:rStyle w:val="rSupStyle"/>
          <w:vertAlign w:val="superscript"/>
        </w:rPr>
        <w:t xml:space="preserve">7</w:t>
      </w:r>
      <w:r>
        <w:rPr/>
        <w:t xml:space="preserve">For the items they had were sufficient for all the items </w:t>
      </w:r>
      <w:r>
        <w:rPr>
          <w:i/>
          <w:iCs/>
        </w:rPr>
        <w:t xml:space="preserve">needed</w:t>
      </w:r>
      <w:r>
        <w:rPr/>
        <w:t xml:space="preserve">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skillful men among those who did the work made the tabernacle with ten curtains of finely twisted linen, blue, purple, and scarlet </w:t>
      </w:r>
      <w:r>
        <w:rPr>
          <w:i/>
          <w:iCs/>
        </w:rPr>
        <w:t xml:space="preserve">material</w:t>
      </w:r>
      <w:r>
        <w:rPr/>
        <w:t xml:space="preserve">, with cherubim skillfully worked into them. </w:t>
      </w:r>
      <w:r>
        <w:rPr>
          <w:rStyle w:val="rSupStyle"/>
          <w:vertAlign w:val="superscript"/>
        </w:rPr>
        <w:t xml:space="preserve">9</w:t>
      </w:r>
      <w:r>
        <w:rPr/>
        <w:t xml:space="preserve">The length of each curtain was 28 cubits,</w:t>
      </w:r>
      <w:r>
        <w:rPr>
          <w:rStyle w:val="FootnoteReference"/>
        </w:rPr>
        <w:footnoteReference w:id="24791"/>
      </w:r>
      <w:r>
        <w:rPr/>
        <w:t xml:space="preserve"> and the width of each curtain four cubits.</w:t>
      </w:r>
      <w:r>
        <w:rPr>
          <w:rStyle w:val="FootnoteReference"/>
        </w:rPr>
        <w:footnoteReference w:id="19550"/>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w:t>
      </w:r>
      <w:r>
        <w:rPr>
          <w:i/>
          <w:iCs/>
        </w:rPr>
        <w:t xml:space="preserve">unit</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FootnoteReference"/>
        </w:rPr>
        <w:footnoteReference w:id="10661"/>
      </w:r>
      <w:r>
        <w:rPr/>
        <w:t xml:space="preserve"> and four cubits</w:t>
      </w:r>
      <w:r>
        <w:rPr>
          <w:rStyle w:val="FootnoteReference"/>
        </w:rPr>
        <w:footnoteReference w:id="16987"/>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so that it would be one </w:t>
      </w:r>
      <w:r>
        <w:rPr>
          <w:i/>
          <w:iCs/>
        </w:rPr>
        <w:t xml:space="preserve">unit</w:t>
      </w:r>
      <w:r>
        <w:rPr/>
        <w:t xml:space="preserve">.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upright boards for the tabernacle of acacia wood. </w:t>
      </w:r>
      <w:r>
        <w:rPr>
          <w:rStyle w:val="rSupStyle"/>
          <w:vertAlign w:val="superscript"/>
        </w:rPr>
        <w:t xml:space="preserve">21</w:t>
      </w:r>
      <w:r>
        <w:rPr/>
        <w:t xml:space="preserve">Ten cubits</w:t>
      </w:r>
      <w:r>
        <w:rPr>
          <w:rStyle w:val="FootnoteReference"/>
        </w:rPr>
        <w:footnoteReference w:id="12310"/>
      </w:r>
      <w:r>
        <w:rPr/>
        <w:t xml:space="preserve"> was the length of a board, and a cubit and a half</w:t>
      </w:r>
      <w:r>
        <w:rPr>
          <w:rStyle w:val="FootnoteReference"/>
        </w:rPr>
        <w:footnoteReference w:id="29834"/>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w:t>
      </w:r>
      <w:r>
        <w:rPr>
          <w:rStyle w:val="rSupStyle"/>
          <w:vertAlign w:val="superscript"/>
        </w:rPr>
        <w:t xml:space="preserve">29</w:t>
      </w:r>
      <w:r>
        <w:rPr/>
        <w:t xml:space="preserve">They were separated at the bottom and joined at the top to one ring. He did this for both of them for the two corner-structures. </w:t>
      </w:r>
      <w:r>
        <w:rPr>
          <w:rStyle w:val="rSupStyle"/>
          <w:vertAlign w:val="superscript"/>
        </w:rPr>
        <w:t xml:space="preserve">30</w:t>
      </w:r>
      <w:r>
        <w:rPr/>
        <w:t xml:space="preserve">There were eight boards </w:t>
      </w:r>
      <w:r>
        <w:rPr>
          <w:i/>
          <w:iCs/>
        </w:rPr>
        <w:t xml:space="preserve">total</w:t>
      </w:r>
      <w:r>
        <w:rPr/>
        <w:t xml:space="preserve">, and their bases </w:t>
      </w:r>
      <w:r>
        <w:rPr>
          <w:i/>
          <w:iCs/>
        </w:rPr>
        <w:t xml:space="preserve">were</w:t>
      </w:r>
      <w:r>
        <w:rPr/>
        <w:t xml:space="preserve">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skillfully worked into it.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its five pillars with their hooks. He overlaid their tops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FootnoteReference"/>
        </w:rPr>
        <w:footnoteReference w:id="13688"/>
      </w:r>
      <w:r>
        <w:rPr/>
        <w:t xml:space="preserve"> and its width was a cubit and a half,</w:t>
      </w:r>
      <w:r>
        <w:rPr>
          <w:rStyle w:val="FootnoteReference"/>
        </w:rPr>
        <w:footnoteReference w:id="26561"/>
      </w:r>
      <w:r>
        <w:rPr/>
        <w:t xml:space="preserve"> and its height was a cubit and a half.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on its four feet;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6</w:t>
      </w:r>
      <w:r>
        <w:rPr/>
        <w:t xml:space="preserve">He made an atonement-cover of pure gold. Its length was two and a half cubits</w:t>
      </w:r>
      <w:r>
        <w:rPr>
          <w:rStyle w:val="FootnoteReference"/>
        </w:rPr>
        <w:footnoteReference w:id="22008"/>
      </w:r>
      <w:r>
        <w:rPr/>
        <w:t xml:space="preserve"> and its width was a cubit and a half.</w:t>
      </w:r>
      <w:r>
        <w:rPr>
          <w:rStyle w:val="FootnoteReference"/>
        </w:rPr>
        <w:footnoteReference w:id="13622"/>
      </w:r>
      <w:r>
        <w:rPr/>
        <w:t xml:space="preserve"> </w:t>
      </w:r>
      <w:r>
        <w:rPr>
          <w:rStyle w:val="rSupStyle"/>
          <w:vertAlign w:val="superscript"/>
        </w:rPr>
        <w:t xml:space="preserve">7</w:t>
      </w:r>
      <w:r>
        <w:rPr/>
        <w:t xml:space="preserve">He made two cherubim of gold. He made them of hammered work at the two ends of the atonement-cover,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atonement-cover. </w:t>
      </w:r>
      <w:r>
        <w:rPr>
          <w:rStyle w:val="rSupStyle"/>
          <w:vertAlign w:val="superscript"/>
        </w:rPr>
        <w:t xml:space="preserve">9</w:t>
      </w:r>
      <w:r>
        <w:rPr/>
        <w:t xml:space="preserve">The cherubim spread out their wings above </w:t>
      </w:r>
      <w:r>
        <w:rPr>
          <w:i/>
          <w:iCs/>
        </w:rPr>
        <w:t xml:space="preserve">it</w:t>
      </w:r>
      <w:r>
        <w:rPr/>
        <w:t xml:space="preserve">, covering the atonement-cover with their wings, facing one another, and their faces were </w:t>
      </w:r>
      <w:r>
        <w:rPr>
          <w:i/>
          <w:iCs/>
        </w:rPr>
        <w:t xml:space="preserve">looking</w:t>
      </w:r>
      <w:r>
        <w:rPr/>
        <w:t xml:space="preserve"> toward the atonement-cover.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FootnoteReference"/>
        </w:rPr>
        <w:footnoteReference w:id="21433"/>
      </w:r>
      <w:r>
        <w:rPr/>
        <w:t xml:space="preserve"> and its width was a cubit,</w:t>
      </w:r>
      <w:r>
        <w:rPr>
          <w:rStyle w:val="FootnoteReference"/>
        </w:rPr>
        <w:footnoteReference w:id="28952"/>
      </w:r>
      <w:r>
        <w:rPr/>
        <w:t xml:space="preserve"> and its height was a cubit and a half.</w:t>
      </w:r>
      <w:r>
        <w:rPr>
          <w:rStyle w:val="FootnoteReference"/>
        </w:rPr>
        <w:footnoteReference w:id="23220"/>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to the rim as places for the poles to carry the table. </w:t>
      </w:r>
      <w:r>
        <w:rPr>
          <w:rStyle w:val="rSupStyle"/>
          <w:vertAlign w:val="superscript"/>
        </w:rPr>
        <w:t xml:space="preserve">15</w:t>
      </w:r>
      <w:r>
        <w:rPr/>
        <w:t xml:space="preserve">He made the poles to carry the table out of acacia wood and overlaid them with gold.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the menorah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the same for </w:t>
      </w:r>
      <w:r>
        <w:rPr>
          <w:i/>
          <w:iCs/>
        </w:rPr>
        <w:t xml:space="preserve">all</w:t>
      </w:r>
      <w:r>
        <w:rPr/>
        <w:t xml:space="preserve">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going</w:t>
      </w:r>
      <w:r>
        <w:rPr/>
        <w:t xml:space="preserve"> out from it, and a bud under two branches </w:t>
      </w:r>
      <w:r>
        <w:rPr>
          <w:i/>
          <w:iCs/>
        </w:rPr>
        <w:t xml:space="preserve">going</w:t>
      </w:r>
      <w:r>
        <w:rPr/>
        <w:t xml:space="preserve"> out from it, and a bud under two branches </w:t>
      </w:r>
      <w:r>
        <w:rPr>
          <w:i/>
          <w:iCs/>
        </w:rPr>
        <w:t xml:space="preserve">going</w:t>
      </w:r>
      <w:r>
        <w:rPr/>
        <w:t xml:space="preserve"> out from it; the same for </w:t>
      </w:r>
      <w:r>
        <w:rPr>
          <w:i/>
          <w:iCs/>
        </w:rPr>
        <w:t xml:space="preserve">all</w:t>
      </w:r>
      <w:r>
        <w:rPr/>
        <w:t xml:space="preserve"> the six branches going out from it. </w:t>
      </w:r>
      <w:r>
        <w:rPr>
          <w:rStyle w:val="rSupStyle"/>
          <w:vertAlign w:val="superscript"/>
        </w:rPr>
        <w:t xml:space="preserve">22</w:t>
      </w:r>
      <w:r>
        <w:rPr/>
        <w:t xml:space="preserve">Their buds and their branches were </w:t>
      </w:r>
      <w:r>
        <w:rPr>
          <w:i/>
          <w:iCs/>
        </w:rPr>
        <w:t xml:space="preserve">going</w:t>
      </w:r>
      <w:r>
        <w:rPr/>
        <w:t xml:space="preserve"> out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from a talent</w:t>
      </w:r>
      <w:r>
        <w:rPr>
          <w:rStyle w:val="FootnoteReference"/>
        </w:rPr>
        <w:footnoteReference w:id="26110"/>
      </w:r>
      <w:r>
        <w:rPr/>
        <w:t xml:space="preserve">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FootnoteReference"/>
        </w:rPr>
        <w:footnoteReference w:id="21752"/>
      </w:r>
      <w:r>
        <w:rPr/>
        <w:t xml:space="preserve"> Its height was two cubits.</w:t>
      </w:r>
      <w:r>
        <w:rPr>
          <w:rStyle w:val="FootnoteReference"/>
        </w:rPr>
        <w:footnoteReference w:id="31484"/>
      </w:r>
      <w:r>
        <w:rPr/>
        <w:t xml:space="preserve"> Its horns were of one piece with it. </w:t>
      </w:r>
      <w:r>
        <w:rPr>
          <w:rStyle w:val="rSupStyle"/>
          <w:vertAlign w:val="superscript"/>
        </w:rPr>
        <w:t xml:space="preserve">26</w:t>
      </w:r>
      <w:r>
        <w:rPr/>
        <w:t xml:space="preserve">He overlaid it with pure gold, its top, its sides around it, and its horns, and he made a gold molding around it. </w:t>
      </w:r>
      <w:r>
        <w:rPr>
          <w:rStyle w:val="rSupStyle"/>
          <w:vertAlign w:val="superscript"/>
        </w:rPr>
        <w:t xml:space="preserve">27</w:t>
      </w:r>
      <w:r>
        <w:rPr/>
        <w:t xml:space="preserve">He made two golden rings for it under its molding on its two sides—on opposite sides—for places for the poles to carry it with.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from acacia wood. It was square. Its length was five cubits,</w:t>
      </w:r>
      <w:r>
        <w:rPr>
          <w:rStyle w:val="FootnoteReference"/>
        </w:rPr>
        <w:footnoteReference w:id="17559"/>
      </w:r>
      <w:r>
        <w:rPr/>
        <w:t xml:space="preserve"> its width was five cubits, and its height was three cubits.</w:t>
      </w:r>
      <w:r>
        <w:rPr>
          <w:rStyle w:val="FootnoteReference"/>
        </w:rPr>
        <w:footnoteReference w:id="18286"/>
      </w:r>
      <w:r>
        <w:rPr/>
        <w:t xml:space="preserve"> </w:t>
      </w:r>
      <w:r>
        <w:rPr>
          <w:rStyle w:val="rSupStyle"/>
          <w:vertAlign w:val="superscript"/>
        </w:rPr>
        <w:t xml:space="preserve">2</w:t>
      </w:r>
      <w:r>
        <w:rPr/>
        <w:t xml:space="preserve">He made its horns on its four corners. Its horns were from </w:t>
      </w:r>
      <w:r>
        <w:rPr>
          <w:i/>
          <w:iCs/>
        </w:rPr>
        <w:t xml:space="preserve">one piece with</w:t>
      </w:r>
      <w:r>
        <w:rPr/>
        <w:t xml:space="preserve">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a grate for the altar,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to carry it with.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FootnoteReference"/>
        </w:rPr>
        <w:footnoteReference w:id="29681"/>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FootnoteReference"/>
        </w:rPr>
        <w:footnoteReference w:id="23954"/>
      </w:r>
      <w:r>
        <w:rPr/>
        <w:t xml:space="preserve"> with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FootnoteReference"/>
        </w:rPr>
        <w:footnoteReference w:id="13817"/>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FootnoteReference"/>
        </w:rPr>
        <w:footnoteReference w:id="23259"/>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like the hangings of the courtyard, </w:t>
      </w:r>
      <w:r>
        <w:rPr>
          <w:rStyle w:val="rSupStyle"/>
          <w:vertAlign w:val="superscript"/>
        </w:rPr>
        <w:t xml:space="preserve">19</w:t>
      </w:r>
      <w:r>
        <w:rPr/>
        <w:t xml:space="preserve">with four pillars and four bronze bases. Their hooks and their bands were of silver and their tops were overlaid with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inventory of the material used for the tabernacle, the Tabernacle of the Testimony, which was inventoried according to the commandment of Moses for the work of the Levites under the direction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holy </w:t>
      </w:r>
      <w:r>
        <w:rPr>
          <w:i/>
          <w:iCs/>
        </w:rPr>
        <w:t xml:space="preserve">Tabernacle</w:t>
      </w:r>
      <w:r>
        <w:rPr/>
        <w:t xml:space="preserve">, the gold of the offering, was 29 talents and 730 shekels,</w:t>
      </w:r>
      <w:r>
        <w:rPr>
          <w:rStyle w:val="FootnoteReference"/>
        </w:rPr>
        <w:footnoteReference w:id="29832"/>
      </w:r>
      <w:r>
        <w:rPr/>
        <w:t xml:space="preserve"> according to the shekel of the holy </w:t>
      </w:r>
      <w:r>
        <w:rPr>
          <w:i/>
          <w:iCs/>
        </w:rPr>
        <w:t xml:space="preserve">Tabernacle</w:t>
      </w:r>
      <w:r>
        <w:rPr/>
        <w:t xml:space="preserve">.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FootnoteReference"/>
        </w:rPr>
        <w:footnoteReference w:id="27299"/>
      </w:r>
      <w:r>
        <w:rPr/>
        <w:t xml:space="preserve"> and 1,775 shekels</w:t>
      </w:r>
      <w:r>
        <w:rPr>
          <w:rStyle w:val="FootnoteReference"/>
        </w:rPr>
        <w:footnoteReference w:id="16558"/>
      </w:r>
      <w:r>
        <w:rPr/>
        <w:t xml:space="preserve"> according to the shekel of the holy </w:t>
      </w:r>
      <w:r>
        <w:rPr>
          <w:i/>
          <w:iCs/>
        </w:rPr>
        <w:t xml:space="preserve">Tabernacle</w:t>
      </w:r>
      <w:r>
        <w:rPr/>
        <w:t xml:space="preserve">: </w:t>
      </w:r>
      <w:r>
        <w:rPr>
          <w:rStyle w:val="rSupStyle"/>
          <w:vertAlign w:val="superscript"/>
        </w:rPr>
        <w:t xml:space="preserve">26</w:t>
      </w:r>
      <w:r>
        <w:rPr/>
        <w:t xml:space="preserve">a beka a head, that is, half a shekel, according to the shekel of the holy </w:t>
      </w:r>
      <w:r>
        <w:rPr>
          <w:i/>
          <w:iCs/>
        </w:rPr>
        <w:t xml:space="preserve">Tabernacle</w:t>
      </w:r>
      <w:r>
        <w:rPr/>
        <w:t xml:space="preserve">, for everyone who crossed over </w:t>
      </w:r>
      <w:r>
        <w:rPr>
          <w:i/>
          <w:iCs/>
        </w:rPr>
        <w:t xml:space="preserve">from being uncounted</w:t>
      </w:r>
      <w:r>
        <w:rPr/>
        <w:t xml:space="preserve"> to those who were counted, from 20 years old and upward, 603,550 </w:t>
      </w:r>
      <w:r>
        <w:rPr>
          <w:i/>
          <w:iCs/>
        </w:rPr>
        <w:t xml:space="preserve">men</w:t>
      </w:r>
      <w:r>
        <w:rPr/>
        <w:t xml:space="preserve">. </w:t>
      </w:r>
      <w:r>
        <w:rPr>
          <w:rStyle w:val="rSupStyle"/>
          <w:vertAlign w:val="superscript"/>
        </w:rPr>
        <w:t xml:space="preserve">27</w:t>
      </w:r>
      <w:r>
        <w:rPr/>
        <w:t xml:space="preserve">The 100 talents of silver were for casting the bases of the holy </w:t>
      </w:r>
      <w:r>
        <w:rPr>
          <w:i/>
          <w:iCs/>
        </w:rPr>
        <w:t xml:space="preserve">Tabernacle</w:t>
      </w:r>
      <w:r>
        <w:rPr/>
        <w:t xml:space="preserve"> and the bases of the veil; 100 bases for the 100 talents, a talent for each base.</w:t>
      </w:r>
      <w:r>
        <w:rPr>
          <w:rStyle w:val="FootnoteReference"/>
        </w:rPr>
        <w:footnoteReference w:id="25502"/>
      </w:r>
      <w:r>
        <w:rPr/>
        <w:t xml:space="preserve"> </w:t>
      </w:r>
      <w:r>
        <w:rPr>
          <w:rStyle w:val="rSupStyle"/>
          <w:vertAlign w:val="superscript"/>
        </w:rPr>
        <w:t xml:space="preserve">28</w:t>
      </w:r>
      <w:r>
        <w:rPr/>
        <w:t xml:space="preserve">From the 1,775 shekels he made hooks for the pillars, overlaid their tops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FootnoteReference"/>
        </w:rPr>
        <w:footnoteReference w:id="32626"/>
      </w:r>
      <w:r>
        <w:rPr/>
        <w:t xml:space="preserve"> and 2,400 shekels,</w:t>
      </w:r>
      <w:r>
        <w:rPr>
          <w:rStyle w:val="FootnoteReference"/>
        </w:rPr>
        <w:footnoteReference w:id="15611"/>
      </w:r>
      <w:r>
        <w:rPr/>
        <w:t xml:space="preserve"> </w:t>
      </w:r>
      <w:r>
        <w:rPr>
          <w:rStyle w:val="rSupStyle"/>
          <w:vertAlign w:val="superscript"/>
        </w:rPr>
        <w:t xml:space="preserve">30</w:t>
      </w:r>
      <w:r>
        <w:rPr/>
        <w:t xml:space="preserve">and with that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garments for officiating, for serving in the holy </w:t>
      </w:r>
      <w:r>
        <w:rPr>
          <w:i/>
          <w:iCs/>
        </w:rPr>
        <w:t xml:space="preserve">place</w:t>
      </w:r>
      <w:r>
        <w:rPr/>
        <w:t xml:space="preserv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the ephod,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FootnoteReference"/>
        </w:rPr>
        <w:footnoteReference w:id="32407"/>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each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and its </w:t>
      </w:r>
      <w:r>
        <w:rPr>
          <w:i/>
          <w:iCs/>
        </w:rPr>
        <w:t xml:space="preserve">oil</w:t>
      </w:r>
      <w:r>
        <w:rPr/>
        <w:t xml:space="preserve"> lamps with the lamps set in proper order, and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garments for officiating—for serving in the holy </w:t>
      </w:r>
      <w:r>
        <w:rPr>
          <w:i/>
          <w:iCs/>
        </w:rPr>
        <w:t xml:space="preserve">place</w:t>
      </w:r>
      <w:r>
        <w:rPr/>
        <w:t xml:space="preserve">—the holy garments for Aaron the priest and the garments for his sons to serve as priests. </w:t>
      </w:r>
      <w:r>
        <w:rPr>
          <w:rStyle w:val="rSupStyle"/>
          <w:vertAlign w:val="superscript"/>
        </w:rPr>
        <w:t xml:space="preserve">42</w:t>
      </w:r>
      <w:r>
        <w:rPr/>
        <w:t xml:space="preserve">So the children of Israel did all the work according to all that Yahweh commanded Moses. </w:t>
      </w:r>
      <w:r>
        <w:rPr>
          <w:rStyle w:val="rSupStyle"/>
          <w:vertAlign w:val="superscript"/>
        </w:rPr>
        <w:t xml:space="preserve">43</w:t>
      </w:r>
      <w:r>
        <w:rPr/>
        <w:t xml:space="preserve">Moses saw all the work, and behold, they had done it. Just as Yahweh had commanded, so they had done it,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shield the ark with the veil. </w:t>
      </w:r>
      <w:r>
        <w:rPr>
          <w:rStyle w:val="rSupStyle"/>
          <w:vertAlign w:val="superscript"/>
        </w:rPr>
        <w:t xml:space="preserve">4</w:t>
      </w:r>
      <w:r>
        <w:rPr/>
        <w:t xml:space="preserve">You are to bring in the table and arrange the </w:t>
      </w:r>
      <w:r>
        <w:rPr>
          <w:i/>
          <w:iCs/>
        </w:rPr>
        <w:t xml:space="preserve">bread</w:t>
      </w:r>
      <w:r>
        <w:rPr/>
        <w:t xml:space="preserve"> that is on it. You are to bring in the menorah and set its lamps on it. </w:t>
      </w:r>
      <w:r>
        <w:rPr>
          <w:rStyle w:val="rSupStyle"/>
          <w:vertAlign w:val="superscript"/>
        </w:rPr>
        <w:t xml:space="preserve">5</w:t>
      </w:r>
      <w:r>
        <w:rPr/>
        <w:t xml:space="preserve">You are to set the golden altar of incense before the ark of the testimony. Then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all around </w:t>
      </w:r>
      <w:r>
        <w:rPr>
          <w:i/>
          <w:iCs/>
        </w:rPr>
        <w:t xml:space="preserve">them</w:t>
      </w:r>
      <w:r>
        <w:rPr/>
        <w:t xml:space="preserve">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set it and all its accessories apart </w:t>
      </w:r>
      <w:r>
        <w:rPr>
          <w:i/>
          <w:iCs/>
        </w:rPr>
        <w:t xml:space="preserve">as holy,</w:t>
      </w:r>
      <w:r>
        <w:rPr/>
        <w:t xml:space="preserve"> and it will be holy. </w:t>
      </w:r>
      <w:r>
        <w:rPr>
          <w:rStyle w:val="rSupStyle"/>
          <w:vertAlign w:val="superscript"/>
        </w:rPr>
        <w:t xml:space="preserve">10</w:t>
      </w:r>
      <w:r>
        <w:rPr/>
        <w:t xml:space="preserve">You are to anoint the altar of burnt offering and all its accessories, and set the altar apart as </w:t>
      </w:r>
      <w:r>
        <w:rPr>
          <w:i/>
          <w:iCs/>
        </w:rPr>
        <w:t xml:space="preserve">holy</w:t>
      </w:r>
      <w:r>
        <w:rPr/>
        <w:t xml:space="preserve">;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set it apart as holy.</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w:t>
      </w:r>
      <w:r>
        <w:rPr>
          <w:i/>
          <w:iCs/>
        </w:rPr>
        <w:t xml:space="preserve">as holy</w:t>
      </w:r>
      <w:r>
        <w:rPr/>
        <w:t xml:space="preserve">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and they will serve me as priests. Their anointing will confer on them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he placed its bases, and set up its boards, and put in its bars, and raised up its pillars. </w:t>
      </w:r>
      <w:r>
        <w:rPr>
          <w:rStyle w:val="rSupStyle"/>
          <w:vertAlign w:val="superscript"/>
        </w:rPr>
        <w:t xml:space="preserve">19</w:t>
      </w:r>
      <w:r>
        <w:rPr/>
        <w:t xml:space="preserve">He spread the tent over the tabernacle and put the covering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atonement-cover over the ark. </w:t>
      </w:r>
      <w:r>
        <w:rPr>
          <w:rStyle w:val="rSupStyle"/>
          <w:vertAlign w:val="superscript"/>
        </w:rPr>
        <w:t xml:space="preserve">21</w:t>
      </w:r>
      <w:r>
        <w:rPr/>
        <w:t xml:space="preserve">He brought the ark into the tabernacle and hung up the veil </w:t>
      </w:r>
      <w:r>
        <w:rPr>
          <w:i/>
          <w:iCs/>
        </w:rPr>
        <w:t xml:space="preserve">as a</w:t>
      </w:r>
      <w:r>
        <w:rPr/>
        <w:t xml:space="preserve"> screen and shielded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set the lamps </w:t>
      </w:r>
      <w:r>
        <w:rPr>
          <w:i/>
          <w:iCs/>
        </w:rPr>
        <w:t xml:space="preserve">on it</w:t>
      </w:r>
      <w:r>
        <w:rPr/>
        <w:t xml:space="preserve">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entrance-screen for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in it water for washing. </w:t>
      </w:r>
      <w:r>
        <w:rPr>
          <w:rStyle w:val="rSupStyle"/>
          <w:vertAlign w:val="superscript"/>
        </w:rPr>
        <w:t xml:space="preserve">31</w:t>
      </w:r>
      <w:r>
        <w:rPr/>
        <w:t xml:space="preserve">Moses, Aaron, and his sons washed their hands and their feet from it.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gate-screen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settled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would set out on all their journeys; </w:t>
      </w:r>
      <w:r>
        <w:rPr>
          <w:rStyle w:val="rSupStyle"/>
          <w:vertAlign w:val="superscript"/>
        </w:rPr>
        <w:t xml:space="preserve">37</w:t>
      </w:r>
      <w:r>
        <w:rPr/>
        <w:t xml:space="preserve">but if the cloud was not taken up, then they would not journey until the day that it was taken up. </w:t>
      </w:r>
      <w:r>
        <w:rPr>
          <w:rStyle w:val="rSupStyle"/>
          <w:vertAlign w:val="superscript"/>
        </w:rPr>
        <w:t xml:space="preserve">38</w:t>
      </w:r>
      <w:r>
        <w:rPr/>
        <w:t xml:space="preserve">For the cloud of Yahweh was over the tabernacle by day and there was fire in the cloud by night in the sight of all the house of Israel throughout all their journeys.</w:t>
      </w:r>
    </w:p>
    <w:p/>
    <w:p>
      <w:r>
        <w:br w:type="page"/>
      </w:r>
    </w:p>
    <w:sectPr xmlns:w="http://schemas.openxmlformats.org/wordprocessingml/2006/main" w:rsidR="00044D3F" w:rsidSect="001A2279">
      <w:footerReference xmlns:r="http://schemas.openxmlformats.org/officeDocument/2006/relationships" w:type="default" r:id="rId389568680f1acfbe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195208"/>
      <w:docPartObj>
        <w:docPartGallery w:val="Page Numbers (Bottom of Page)"/>
        <w:docPartUnique/>
      </w:docPartObj>
    </w:sdtPr>
    <w:sdtContent>
      <w:sdt>
        <w:sdtPr>
          <w:id w:val="1100578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143">
    <w:p>
      <w:pPr>
        <w:pStyle w:val="FootnoteText"/>
      </w:pPr>
      <w:r>
        <w:rPr>
          <w:rStyle w:val="FootnoteReference"/>
        </w:rPr>
        <w:footnoteRef/>
      </w:r>
      <w:r>
        <w:t xml:space="preserve">
          <w:r>
            <w:t xml:space="preserve">
              <w:r>
                <w:t xml:space="preserve"> Lit. “swarmed”</w:t>
              </w:r>
            </w:t>
          </w:r>
        </w:t>
      </w:r>
    </w:p>
  </w:footnote>
  <w:footnote w:id="30994">
    <w:p>
      <w:pPr>
        <w:pStyle w:val="FootnoteText"/>
      </w:pPr>
      <w:r>
        <w:rPr>
          <w:rStyle w:val="FootnoteReference"/>
        </w:rPr>
        <w:footnoteRef/>
      </w:r>
      <w:r>
        <w:t xml:space="preserve">
          <w:r>
            <w:t xml:space="preserve">
              <w:r>
                <w:t xml:space="preserve"> Or “garrison cities”</w:t>
              </w:r>
            </w:t>
          </w:r>
        </w:t>
      </w:r>
    </w:p>
  </w:footnote>
  <w:footnote w:id="10496">
    <w:p>
      <w:pPr>
        <w:pStyle w:val="FootnoteText"/>
      </w:pPr>
      <w:r>
        <w:rPr>
          <w:rStyle w:val="FootnoteReference"/>
        </w:rPr>
        <w:footnoteRef/>
      </w:r>
      <w:r>
        <w:t xml:space="preserve">
          <w:r>
            <w:t xml:space="preserve">
              <w:r>
                <w:t xml:space="preserve"> Traditionally “God Almighty”</w:t>
              </w:r>
            </w:t>
          </w:r>
        </w:t>
      </w:r>
    </w:p>
  </w:footnote>
  <w:footnote w:id="11576">
    <w:p>
      <w:pPr>
        <w:pStyle w:val="FootnoteText"/>
      </w:pPr>
      <w:r>
        <w:rPr>
          <w:rStyle w:val="FootnoteReference"/>
        </w:rPr>
        <w:footnoteRef/>
      </w:r>
      <w:r>
        <w:t xml:space="preserve">
          <w:r>
            <w:t xml:space="preserve">
              <w:r>
                <w:t xml:space="preserve"> the Egyptians</w:t>
              </w:r>
            </w:t>
          </w:r>
        </w:t>
      </w:r>
    </w:p>
  </w:footnote>
  <w:footnote w:id="14151">
    <w:p>
      <w:pPr>
        <w:pStyle w:val="FootnoteText"/>
      </w:pPr>
      <w:r>
        <w:rPr>
          <w:rStyle w:val="FootnoteReference"/>
        </w:rPr>
        <w:footnoteRef/>
      </w:r>
      <w:r>
        <w:t xml:space="preserve">
          <w:r>
            <w:t xml:space="preserve">
              <w:r>
                <w:t xml:space="preserve"> Lit. “eye”</w:t>
              </w:r>
            </w:t>
          </w:r>
        </w:t>
      </w:r>
    </w:p>
  </w:footnote>
  <w:footnote w:id="15197">
    <w:p>
      <w:pPr>
        <w:pStyle w:val="FootnoteText"/>
      </w:pPr>
      <w:r>
        <w:rPr>
          <w:rStyle w:val="FootnoteReference"/>
        </w:rPr>
        <w:footnoteRef/>
      </w:r>
      <w:r>
        <w:t xml:space="preserve">
          <w:r>
            <w:t xml:space="preserve">
              <w:r>
                <w:t xml:space="preserve"> Lit. “Reed Sea”</w:t>
              </w:r>
            </w:t>
          </w:r>
        </w:t>
      </w:r>
    </w:p>
  </w:footnote>
  <w:footnote w:id="14830">
    <w:p>
      <w:pPr>
        <w:pStyle w:val="FootnoteText"/>
      </w:pPr>
      <w:r>
        <w:rPr>
          <w:rStyle w:val="FootnoteReference"/>
        </w:rPr>
        <w:footnoteRef/>
      </w:r>
      <w:r>
        <w:t xml:space="preserve">
          <w:r>
            <w:t xml:space="preserve">
              <w:r>
                <w:t xml:space="preserve"> Lit. “between the [two] evenings”</w:t>
              </w:r>
            </w:t>
          </w:r>
        </w:t>
      </w:r>
    </w:p>
  </w:footnote>
  <w:footnote w:id="12663">
    <w:p>
      <w:pPr>
        <w:pStyle w:val="FootnoteText"/>
      </w:pPr>
      <w:r>
        <w:rPr>
          <w:rStyle w:val="FootnoteReference"/>
        </w:rPr>
        <w:footnoteRef/>
      </w:r>
      <w:r>
        <w:t xml:space="preserve">
          <w:r>
            <w:t xml:space="preserve">
              <w:r>
                <w:t xml:space="preserve"> Lit. “Reed Sea”</w:t>
              </w:r>
            </w:t>
          </w:r>
        </w:t>
      </w:r>
    </w:p>
  </w:footnote>
  <w:footnote w:id="21555">
    <w:p>
      <w:pPr>
        <w:pStyle w:val="FootnoteText"/>
      </w:pPr>
      <w:r>
        <w:rPr>
          <w:rStyle w:val="FootnoteReference"/>
        </w:rPr>
        <w:footnoteRef/>
      </w:r>
      <w:r>
        <w:t xml:space="preserve">
          <w:r>
            <w:t xml:space="preserve">
              <w:r>
                <w:t xml:space="preserve"> The text has “he,” but that can be confusing in English.</w:t>
              </w:r>
            </w:t>
          </w:r>
        </w:t>
      </w:r>
    </w:p>
  </w:footnote>
  <w:footnote w:id="16267">
    <w:p>
      <w:pPr>
        <w:pStyle w:val="FootnoteText"/>
      </w:pPr>
      <w:r>
        <w:rPr>
          <w:rStyle w:val="FootnoteReference"/>
        </w:rPr>
        <w:footnoteRef/>
      </w:r>
      <w:r>
        <w:t xml:space="preserve">
          <w:r>
            <w:t xml:space="preserve">
              <w:r>
                <w:t xml:space="preserve"> Or “breath”</w:t>
              </w:r>
            </w:t>
          </w:r>
        </w:t>
      </w:r>
    </w:p>
  </w:footnote>
  <w:footnote w:id="20048">
    <w:p>
      <w:pPr>
        <w:pStyle w:val="FootnoteText"/>
      </w:pPr>
      <w:r>
        <w:rPr>
          <w:rStyle w:val="FootnoteReference"/>
        </w:rPr>
        <w:footnoteRef/>
      </w:r>
      <w:r>
        <w:t xml:space="preserve">
          <w:r>
            <w:t xml:space="preserve">
              <w:r>
                <w:t xml:space="preserve"> Or “breath”</w:t>
              </w:r>
            </w:t>
          </w:r>
        </w:t>
      </w:r>
    </w:p>
  </w:footnote>
  <w:footnote w:id="30539">
    <w:p>
      <w:pPr>
        <w:pStyle w:val="FootnoteText"/>
      </w:pPr>
      <w:r>
        <w:rPr>
          <w:rStyle w:val="FootnoteReference"/>
        </w:rPr>
        <w:footnoteRef/>
      </w:r>
      <w:r>
        <w:t xml:space="preserve">
          <w:r>
            <w:t xml:space="preserve">
              <w:r>
                <w:t xml:space="preserve"> Lit. “rams”</w:t>
              </w:r>
            </w:t>
          </w:r>
        </w:t>
      </w:r>
    </w:p>
  </w:footnote>
  <w:footnote w:id="13333">
    <w:p>
      <w:pPr>
        <w:pStyle w:val="FootnoteText"/>
      </w:pPr>
      <w:r>
        <w:rPr>
          <w:rStyle w:val="FootnoteReference"/>
        </w:rPr>
        <w:footnoteRef/>
      </w:r>
      <w:r>
        <w:t xml:space="preserve">
          <w:r>
            <w:t xml:space="preserve">
              <w:r>
                <w:t xml:space="preserve"> Lit. “He”</w:t>
              </w:r>
            </w:t>
          </w:r>
        </w:t>
      </w:r>
    </w:p>
  </w:footnote>
  <w:footnote w:id="12528">
    <w:p>
      <w:pPr>
        <w:pStyle w:val="FootnoteText"/>
      </w:pPr>
      <w:r>
        <w:rPr>
          <w:rStyle w:val="FootnoteReference"/>
        </w:rPr>
        <w:footnoteRef/>
      </w:r>
      <w:r>
        <w:t xml:space="preserve">
          <w:r>
            <w:t xml:space="preserve">
              <w:r>
                <w:t xml:space="preserve"> Lit. “skull”</w:t>
              </w:r>
            </w:t>
          </w:r>
        </w:t>
      </w:r>
    </w:p>
  </w:footnote>
  <w:footnote w:id="27931">
    <w:p>
      <w:pPr>
        <w:pStyle w:val="FootnoteText"/>
      </w:pPr>
      <w:r>
        <w:rPr>
          <w:rStyle w:val="FootnoteReference"/>
        </w:rPr>
        <w:footnoteRef/>
      </w:r>
      <w:r>
        <w:t xml:space="preserve">
          <w:r>
            <w:t xml:space="preserve">
              <w:r>
                <w:t xml:space="preserve"> Lit. “he”</w:t>
              </w:r>
            </w:t>
          </w:r>
        </w:t>
      </w:r>
    </w:p>
  </w:footnote>
  <w:footnote w:id="15117">
    <w:p>
      <w:pPr>
        <w:pStyle w:val="FootnoteText"/>
      </w:pPr>
      <w:r>
        <w:rPr>
          <w:rStyle w:val="FootnoteReference"/>
        </w:rPr>
        <w:footnoteRef/>
      </w:r>
      <w:r>
        <w:t xml:space="preserve">
          <w:r>
            <w:t xml:space="preserve">
              <w:r>
                <w:t xml:space="preserve"> Lit. “his”</w:t>
              </w:r>
            </w:t>
          </w:r>
        </w:t>
      </w:r>
    </w:p>
  </w:footnote>
  <w:footnote w:id="30933">
    <w:p>
      <w:pPr>
        <w:pStyle w:val="FootnoteText"/>
      </w:pPr>
      <w:r>
        <w:rPr>
          <w:rStyle w:val="FootnoteReference"/>
        </w:rPr>
        <w:footnoteRef/>
      </w:r>
      <w:r>
        <w:t xml:space="preserve">
          <w:r>
            <w:t xml:space="preserve">
              <w:r>
                <w:t xml:space="preserve"> Lit. “them”</w:t>
              </w:r>
            </w:t>
          </w:r>
        </w:t>
      </w:r>
    </w:p>
  </w:footnote>
  <w:footnote w:id="21176">
    <w:p>
      <w:pPr>
        <w:pStyle w:val="FootnoteText"/>
      </w:pPr>
      <w:r>
        <w:rPr>
          <w:rStyle w:val="FootnoteReference"/>
        </w:rPr>
        <w:footnoteRef/>
      </w:r>
      <w:r>
        <w:t xml:space="preserve">
          <w:r>
            <w:t xml:space="preserve">
              <w:r>
                <w:t xml:space="preserve"> Lit. “them” referring to Israel</w:t>
              </w:r>
            </w:t>
          </w:r>
        </w:t>
      </w:r>
    </w:p>
  </w:footnote>
  <w:footnote w:id="20545">
    <w:p>
      <w:pPr>
        <w:pStyle w:val="FootnoteText"/>
      </w:pPr>
      <w:r>
        <w:rPr>
          <w:rStyle w:val="FootnoteReference"/>
        </w:rPr>
        <w:footnoteRef/>
      </w:r>
      <w:r>
        <w:t xml:space="preserve">
          <w:r>
            <w:t xml:space="preserve">
              <w:r>
                <w:t xml:space="preserve"> Heb. is singular, not plural. Meaning “each of you”</w:t>
              </w:r>
            </w:t>
          </w:r>
        </w:t>
      </w:r>
    </w:p>
  </w:footnote>
  <w:footnote w:id="29651">
    <w:p>
      <w:pPr>
        <w:pStyle w:val="FootnoteText"/>
      </w:pPr>
      <w:r>
        <w:rPr>
          <w:rStyle w:val="FootnoteReference"/>
        </w:rPr>
        <w:footnoteRef/>
      </w:r>
      <w:r>
        <w:t xml:space="preserve">
          <w:r>
            <w:t xml:space="preserve">
              <w:r>
                <w:t xml:space="preserve"> Or “worship them”</w:t>
              </w:r>
            </w:t>
          </w:r>
        </w:t>
      </w:r>
    </w:p>
  </w:footnote>
  <w:footnote w:id="28524">
    <w:p>
      <w:pPr>
        <w:pStyle w:val="FootnoteText"/>
      </w:pPr>
      <w:r>
        <w:rPr>
          <w:rStyle w:val="FootnoteReference"/>
        </w:rPr>
        <w:footnoteRef/>
      </w:r>
      <w:r>
        <w:t xml:space="preserve">
          <w:r>
            <w:t xml:space="preserve">
              <w:r>
                <w:t xml:space="preserve"> Or “God”</w:t>
              </w:r>
            </w:t>
          </w:r>
        </w:t>
      </w:r>
    </w:p>
  </w:footnote>
  <w:footnote w:id="12121">
    <w:p>
      <w:pPr>
        <w:pStyle w:val="FootnoteText"/>
      </w:pPr>
      <w:r>
        <w:rPr>
          <w:rStyle w:val="FootnoteReference"/>
        </w:rPr>
        <w:footnoteRef/>
      </w:r>
      <w:r>
        <w:t xml:space="preserve">
          <w:r>
            <w:t xml:space="preserve">
              <w:r>
                <w:t xml:space="preserve"> Lit. “he”</w:t>
              </w:r>
            </w:t>
          </w:r>
        </w:t>
      </w:r>
    </w:p>
  </w:footnote>
  <w:footnote w:id="19939">
    <w:p>
      <w:pPr>
        <w:pStyle w:val="FootnoteText"/>
      </w:pPr>
      <w:r>
        <w:rPr>
          <w:rStyle w:val="FootnoteReference"/>
        </w:rPr>
        <w:footnoteRef/>
      </w:r>
      <w:r>
        <w:t xml:space="preserve">
          <w:r>
            <w:t xml:space="preserve">
              <w:r>
                <w:t xml:space="preserve"> Roughly 12 ounces (340 grams)</w:t>
              </w:r>
            </w:t>
          </w:r>
        </w:t>
      </w:r>
    </w:p>
  </w:footnote>
  <w:footnote w:id="13665">
    <w:p>
      <w:pPr>
        <w:pStyle w:val="FootnoteText"/>
      </w:pPr>
      <w:r>
        <w:rPr>
          <w:rStyle w:val="FootnoteReference"/>
        </w:rPr>
        <w:footnoteRef/>
      </w:r>
      <w:r>
        <w:t xml:space="preserve">
          <w:r>
            <w:t xml:space="preserve">
              <w:r>
                <w:t xml:space="preserve"> Or, “God”</w:t>
              </w:r>
            </w:t>
          </w:r>
        </w:t>
      </w:r>
    </w:p>
  </w:footnote>
  <w:footnote w:id="17158">
    <w:p>
      <w:pPr>
        <w:pStyle w:val="FootnoteText"/>
      </w:pPr>
      <w:r>
        <w:rPr>
          <w:rStyle w:val="FootnoteReference"/>
        </w:rPr>
        <w:footnoteRef/>
      </w:r>
      <w:r>
        <w:t xml:space="preserve">
          <w:r>
            <w:t xml:space="preserve">
              <w:r>
                <w:t xml:space="preserve"> Or, “orphan”</w:t>
              </w:r>
            </w:t>
          </w:r>
        </w:t>
      </w:r>
    </w:p>
  </w:footnote>
  <w:footnote w:id="23369">
    <w:p>
      <w:pPr>
        <w:pStyle w:val="FootnoteText"/>
      </w:pPr>
      <w:r>
        <w:rPr>
          <w:rStyle w:val="FootnoteReference"/>
        </w:rPr>
        <w:footnoteRef/>
      </w:r>
      <w:r>
        <w:t xml:space="preserve">
          <w:r>
            <w:t xml:space="preserve">
              <w:r>
                <w:t xml:space="preserve"> Or, “judges”</w:t>
              </w:r>
            </w:t>
          </w:r>
        </w:t>
      </w:r>
    </w:p>
  </w:footnote>
  <w:footnote w:id="29287">
    <w:p>
      <w:pPr>
        <w:pStyle w:val="FootnoteText"/>
      </w:pPr>
      <w:r>
        <w:rPr>
          <w:rStyle w:val="FootnoteReference"/>
        </w:rPr>
        <w:footnoteRef/>
      </w:r>
      <w:r>
        <w:t xml:space="preserve">
          <w:r>
            <w:t xml:space="preserve">
              <w:r>
                <w:t xml:space="preserve"> Lit. “you know the soul (or ’life’) of a foreigner”</w:t>
              </w:r>
            </w:t>
          </w:r>
        </w:t>
      </w:r>
    </w:p>
  </w:footnote>
  <w:footnote w:id="20614">
    <w:p>
      <w:pPr>
        <w:pStyle w:val="FootnoteText"/>
      </w:pPr>
      <w:r>
        <w:rPr>
          <w:rStyle w:val="FootnoteReference"/>
        </w:rPr>
        <w:footnoteRef/>
      </w:r>
      <w:r>
        <w:t xml:space="preserve">
          <w:r>
            <w:t xml:space="preserve">
              <w:r>
                <w:t xml:space="preserve"> Lit. “pilgrimage feast”</w:t>
              </w:r>
            </w:t>
          </w:r>
        </w:t>
      </w:r>
    </w:p>
  </w:footnote>
  <w:footnote w:id="20488">
    <w:p>
      <w:pPr>
        <w:pStyle w:val="FootnoteText"/>
      </w:pPr>
      <w:r>
        <w:rPr>
          <w:rStyle w:val="FootnoteReference"/>
        </w:rPr>
        <w:footnoteRef/>
      </w:r>
      <w:r>
        <w:t xml:space="preserve">
          <w:r>
            <w:t xml:space="preserve">
              <w:r>
                <w:t xml:space="preserve"> Or “worship their gods”</w:t>
              </w:r>
            </w:t>
          </w:r>
        </w:t>
      </w:r>
    </w:p>
  </w:footnote>
  <w:footnote w:id="22262">
    <w:p>
      <w:pPr>
        <w:pStyle w:val="FootnoteText"/>
      </w:pPr>
      <w:r>
        <w:rPr>
          <w:rStyle w:val="FootnoteReference"/>
        </w:rPr>
        <w:footnoteRef/>
      </w:r>
      <w:r>
        <w:t xml:space="preserve">
          <w:r>
            <w:t xml:space="preserve">
              <w:r>
                <w:t xml:space="preserve"> I.e, the pagan idols</w:t>
              </w:r>
            </w:t>
          </w:r>
        </w:t>
      </w:r>
    </w:p>
  </w:footnote>
  <w:footnote w:id="23778">
    <w:p>
      <w:pPr>
        <w:pStyle w:val="FootnoteText"/>
      </w:pPr>
      <w:r>
        <w:rPr>
          <w:rStyle w:val="FootnoteReference"/>
        </w:rPr>
        <w:footnoteRef/>
      </w:r>
      <w:r>
        <w:t xml:space="preserve">
          <w:r>
            <w:t xml:space="preserve">
              <w:r>
                <w:t xml:space="preserve"> Or, “tanned red”</w:t>
              </w:r>
            </w:t>
          </w:r>
        </w:t>
      </w:r>
    </w:p>
  </w:footnote>
  <w:footnote w:id="25072">
    <w:p>
      <w:pPr>
        <w:pStyle w:val="FootnoteText"/>
      </w:pPr>
      <w:r>
        <w:rPr>
          <w:rStyle w:val="FootnoteReference"/>
        </w:rPr>
        <w:footnoteRef/>
      </w:r>
      <w:r>
        <w:t xml:space="preserve">
          <w:r>
            <w:t xml:space="preserve">
              <w:r>
                <w:t xml:space="preserve"> Lit. “tabernacle” among them.</w:t>
              </w:r>
            </w:t>
          </w:r>
        </w:t>
      </w:r>
    </w:p>
  </w:footnote>
  <w:footnote w:id="15369">
    <w:p>
      <w:pPr>
        <w:pStyle w:val="FootnoteText"/>
      </w:pPr>
      <w:r>
        <w:rPr>
          <w:rStyle w:val="FootnoteReference"/>
        </w:rPr>
        <w:footnoteRef/>
      </w:r>
      <w:r>
        <w:t xml:space="preserve">
          <w:r>
            <w:t xml:space="preserve">
              <w:r>
                <w:t xml:space="preserve"> Lit. “Dwelling” or “Dwelling Place”</w:t>
              </w:r>
            </w:t>
          </w:r>
        </w:t>
      </w:r>
    </w:p>
  </w:footnote>
  <w:footnote w:id="21561">
    <w:p>
      <w:pPr>
        <w:pStyle w:val="FootnoteText"/>
      </w:pPr>
      <w:r>
        <w:rPr>
          <w:rStyle w:val="FootnoteReference"/>
        </w:rPr>
        <w:footnoteRef/>
      </w:r>
      <w:r>
        <w:t xml:space="preserve">
          <w:r>
            <w:t xml:space="preserve">
              <w:r>
                <w:t xml:space="preserve"> The “you” is plural</w:t>
              </w:r>
            </w:t>
          </w:r>
        </w:t>
      </w:r>
    </w:p>
  </w:footnote>
  <w:footnote w:id="17397">
    <w:p>
      <w:pPr>
        <w:pStyle w:val="FootnoteText"/>
      </w:pPr>
      <w:r>
        <w:rPr>
          <w:rStyle w:val="FootnoteReference"/>
        </w:rPr>
        <w:footnoteRef/>
      </w:r>
      <w:r>
        <w:t xml:space="preserve">
          <w:r>
            <w:t xml:space="preserve">
              <w:r>
                <w:t xml:space="preserve"> 45 inches (114 centimeters)</w:t>
              </w:r>
            </w:t>
          </w:r>
        </w:t>
      </w:r>
    </w:p>
  </w:footnote>
  <w:footnote w:id="20515">
    <w:p>
      <w:pPr>
        <w:pStyle w:val="FootnoteText"/>
      </w:pPr>
      <w:r>
        <w:rPr>
          <w:rStyle w:val="FootnoteReference"/>
        </w:rPr>
        <w:footnoteRef/>
      </w:r>
      <w:r>
        <w:t xml:space="preserve">
          <w:r>
            <w:t xml:space="preserve">
              <w:r>
                <w:t xml:space="preserve"> 27 inches (68.5 centimeters)</w:t>
              </w:r>
            </w:t>
          </w:r>
        </w:t>
      </w:r>
    </w:p>
  </w:footnote>
  <w:footnote w:id="16324">
    <w:p>
      <w:pPr>
        <w:pStyle w:val="FootnoteText"/>
      </w:pPr>
      <w:r>
        <w:rPr>
          <w:rStyle w:val="FootnoteReference"/>
        </w:rPr>
        <w:footnoteRef/>
      </w:r>
      <w:r>
        <w:t xml:space="preserve">
          <w:r>
            <w:t xml:space="preserve">
              <w:r>
                <w:t xml:space="preserve"> 45 inches (114 centimeters)</w:t>
              </w:r>
            </w:t>
          </w:r>
        </w:t>
      </w:r>
    </w:p>
  </w:footnote>
  <w:footnote w:id="14989">
    <w:p>
      <w:pPr>
        <w:pStyle w:val="FootnoteText"/>
      </w:pPr>
      <w:r>
        <w:rPr>
          <w:rStyle w:val="FootnoteReference"/>
        </w:rPr>
        <w:footnoteRef/>
      </w:r>
      <w:r>
        <w:t xml:space="preserve">
          <w:r>
            <w:t xml:space="preserve">
              <w:r>
                <w:t xml:space="preserve"> 27 inches (68.5 centimeters)</w:t>
              </w:r>
            </w:t>
          </w:r>
        </w:t>
      </w:r>
    </w:p>
  </w:footnote>
  <w:footnote w:id="24844">
    <w:p>
      <w:pPr>
        <w:pStyle w:val="FootnoteText"/>
      </w:pPr>
      <w:r>
        <w:rPr>
          <w:rStyle w:val="FootnoteReference"/>
        </w:rPr>
        <w:footnoteRef/>
      </w:r>
      <w:r>
        <w:t xml:space="preserve">
          <w:r>
            <w:t xml:space="preserve">
              <w:r>
                <w:t xml:space="preserve"> 36 inches (91 centimeters)</w:t>
              </w:r>
            </w:t>
          </w:r>
        </w:t>
      </w:r>
    </w:p>
  </w:footnote>
  <w:footnote w:id="13992">
    <w:p>
      <w:pPr>
        <w:pStyle w:val="FootnoteText"/>
      </w:pPr>
      <w:r>
        <w:rPr>
          <w:rStyle w:val="FootnoteReference"/>
        </w:rPr>
        <w:footnoteRef/>
      </w:r>
      <w:r>
        <w:t xml:space="preserve">
          <w:r>
            <w:t xml:space="preserve">
              <w:r>
                <w:t xml:space="preserve"> 18 inches (46 centimeters)</w:t>
              </w:r>
            </w:t>
          </w:r>
        </w:t>
      </w:r>
    </w:p>
  </w:footnote>
  <w:footnote w:id="29293">
    <w:p>
      <w:pPr>
        <w:pStyle w:val="FootnoteText"/>
      </w:pPr>
      <w:r>
        <w:rPr>
          <w:rStyle w:val="FootnoteReference"/>
        </w:rPr>
        <w:footnoteRef/>
      </w:r>
      <w:r>
        <w:t xml:space="preserve">
          <w:r>
            <w:t xml:space="preserve">
              <w:r>
                <w:t xml:space="preserve"> 27 inches (68.5 centimeters)</w:t>
              </w:r>
            </w:t>
          </w:r>
        </w:t>
      </w:r>
    </w:p>
  </w:footnote>
  <w:footnote w:id="30790">
    <w:p>
      <w:pPr>
        <w:pStyle w:val="FootnoteText"/>
      </w:pPr>
      <w:r>
        <w:rPr>
          <w:rStyle w:val="FootnoteReference"/>
        </w:rPr>
        <w:footnoteRef/>
      </w:r>
      <w:r>
        <w:t xml:space="preserve">
          <w:r>
            <w:t xml:space="preserve">
              <w:r>
                <w:t xml:space="preserve"> 75 pounds (34 kilograms)</w:t>
              </w:r>
            </w:t>
          </w:r>
        </w:t>
      </w:r>
    </w:p>
  </w:footnote>
  <w:footnote w:id="25949">
    <w:p>
      <w:pPr>
        <w:pStyle w:val="FootnoteText"/>
      </w:pPr>
      <w:r>
        <w:rPr>
          <w:rStyle w:val="FootnoteReference"/>
        </w:rPr>
        <w:footnoteRef/>
      </w:r>
      <w:r>
        <w:t xml:space="preserve">
          <w:r>
            <w:t xml:space="preserve">
              <w:r>
                <w:t xml:space="preserve"> 42 feet (12.80 meters)</w:t>
              </w:r>
            </w:t>
          </w:r>
        </w:t>
      </w:r>
    </w:p>
  </w:footnote>
  <w:footnote w:id="13409">
    <w:p>
      <w:pPr>
        <w:pStyle w:val="FootnoteText"/>
      </w:pPr>
      <w:r>
        <w:rPr>
          <w:rStyle w:val="FootnoteReference"/>
        </w:rPr>
        <w:footnoteRef/>
      </w:r>
      <w:r>
        <w:t xml:space="preserve">
          <w:r>
            <w:t xml:space="preserve">
              <w:r>
                <w:t xml:space="preserve"> 6 feet (1.83 meters)</w:t>
              </w:r>
            </w:t>
          </w:r>
        </w:t>
      </w:r>
    </w:p>
  </w:footnote>
  <w:footnote w:id="29890">
    <w:p>
      <w:pPr>
        <w:pStyle w:val="FootnoteText"/>
      </w:pPr>
      <w:r>
        <w:rPr>
          <w:rStyle w:val="FootnoteReference"/>
        </w:rPr>
        <w:footnoteRef/>
      </w:r>
      <w:r>
        <w:t xml:space="preserve">
          <w:r>
            <w:t xml:space="preserve">
              <w:r>
                <w:t xml:space="preserve"> 45 feet (13.72 meters)</w:t>
              </w:r>
            </w:t>
          </w:r>
        </w:t>
      </w:r>
    </w:p>
  </w:footnote>
  <w:footnote w:id="10502">
    <w:p>
      <w:pPr>
        <w:pStyle w:val="FootnoteText"/>
      </w:pPr>
      <w:r>
        <w:rPr>
          <w:rStyle w:val="FootnoteReference"/>
        </w:rPr>
        <w:footnoteRef/>
      </w:r>
      <w:r>
        <w:t xml:space="preserve">
          <w:r>
            <w:t xml:space="preserve">
              <w:r>
                <w:t xml:space="preserve"> 6 feet (1.83 meters)</w:t>
              </w:r>
            </w:t>
          </w:r>
        </w:t>
      </w:r>
    </w:p>
  </w:footnote>
  <w:footnote w:id="11169">
    <w:p>
      <w:pPr>
        <w:pStyle w:val="FootnoteText"/>
      </w:pPr>
      <w:r>
        <w:rPr>
          <w:rStyle w:val="FootnoteReference"/>
        </w:rPr>
        <w:footnoteRef/>
      </w:r>
      <w:r>
        <w:t xml:space="preserve">
          <w:r>
            <w:t xml:space="preserve">
              <w:r>
                <w:t xml:space="preserve"> 15 feet (4.57 meters)</w:t>
              </w:r>
            </w:t>
          </w:r>
        </w:t>
      </w:r>
    </w:p>
  </w:footnote>
  <w:footnote w:id="24873">
    <w:p>
      <w:pPr>
        <w:pStyle w:val="FootnoteText"/>
      </w:pPr>
      <w:r>
        <w:rPr>
          <w:rStyle w:val="FootnoteReference"/>
        </w:rPr>
        <w:footnoteRef/>
      </w:r>
      <w:r>
        <w:t xml:space="preserve">
          <w:r>
            <w:t xml:space="preserve">
              <w:r>
                <w:t xml:space="preserve"> 27 inches (68.58 centimeters)</w:t>
              </w:r>
            </w:t>
          </w:r>
        </w:t>
      </w:r>
    </w:p>
  </w:footnote>
  <w:footnote w:id="17787">
    <w:p>
      <w:pPr>
        <w:pStyle w:val="FootnoteText"/>
      </w:pPr>
      <w:r>
        <w:rPr>
          <w:rStyle w:val="FootnoteReference"/>
        </w:rPr>
        <w:footnoteRef/>
      </w:r>
      <w:r>
        <w:t xml:space="preserve">
          <w:r>
            <w:t xml:space="preserve">
              <w:r>
                <w:t xml:space="preserve"> 7 1/2 feet (2.29 meters)</w:t>
              </w:r>
            </w:t>
          </w:r>
        </w:t>
      </w:r>
    </w:p>
  </w:footnote>
  <w:footnote w:id="30139">
    <w:p>
      <w:pPr>
        <w:pStyle w:val="FootnoteText"/>
      </w:pPr>
      <w:r>
        <w:rPr>
          <w:rStyle w:val="FootnoteReference"/>
        </w:rPr>
        <w:footnoteRef/>
      </w:r>
      <w:r>
        <w:t xml:space="preserve">
          <w:r>
            <w:t xml:space="preserve">
              <w:r>
                <w:t xml:space="preserve"> 4 1/2 feet (1.83 meters)</w:t>
              </w:r>
            </w:t>
          </w:r>
        </w:t>
      </w:r>
    </w:p>
  </w:footnote>
  <w:footnote w:id="23578">
    <w:p>
      <w:pPr>
        <w:pStyle w:val="FootnoteText"/>
      </w:pPr>
      <w:r>
        <w:rPr>
          <w:rStyle w:val="FootnoteReference"/>
        </w:rPr>
        <w:footnoteRef/>
      </w:r>
      <w:r>
        <w:t xml:space="preserve">
          <w:r>
            <w:t xml:space="preserve">
              <w:r>
                <w:t xml:space="preserve"> 150 feet or 50 yards (45.72 meters)</w:t>
              </w:r>
            </w:t>
          </w:r>
        </w:t>
      </w:r>
    </w:p>
  </w:footnote>
  <w:footnote w:id="10811">
    <w:p>
      <w:pPr>
        <w:pStyle w:val="FootnoteText"/>
      </w:pPr>
      <w:r>
        <w:rPr>
          <w:rStyle w:val="FootnoteReference"/>
        </w:rPr>
        <w:footnoteRef/>
      </w:r>
      <w:r>
        <w:t xml:space="preserve">
          <w:r>
            <w:t xml:space="preserve">
              <w:r>
                <w:t xml:space="preserve"> 150 feet or 50 yards (45.72 meters)</w:t>
              </w:r>
            </w:t>
          </w:r>
        </w:t>
      </w:r>
    </w:p>
  </w:footnote>
  <w:footnote w:id="30984">
    <w:p>
      <w:pPr>
        <w:pStyle w:val="FootnoteText"/>
      </w:pPr>
      <w:r>
        <w:rPr>
          <w:rStyle w:val="FootnoteReference"/>
        </w:rPr>
        <w:footnoteRef/>
      </w:r>
      <w:r>
        <w:t xml:space="preserve">
          <w:r>
            <w:t xml:space="preserve">
              <w:r>
                <w:t xml:space="preserve"> 75 feet (22.8 meters)</w:t>
              </w:r>
            </w:t>
          </w:r>
        </w:t>
      </w:r>
    </w:p>
  </w:footnote>
  <w:footnote w:id="28730">
    <w:p>
      <w:pPr>
        <w:pStyle w:val="FootnoteText"/>
      </w:pPr>
      <w:r>
        <w:rPr>
          <w:rStyle w:val="FootnoteReference"/>
        </w:rPr>
        <w:footnoteRef/>
      </w:r>
      <w:r>
        <w:t xml:space="preserve">
          <w:r>
            <w:t xml:space="preserve">
              <w:r>
                <w:t xml:space="preserve"> 75 feet (22.86 meters)</w:t>
              </w:r>
            </w:t>
          </w:r>
        </w:t>
      </w:r>
    </w:p>
  </w:footnote>
  <w:footnote w:id="30647">
    <w:p>
      <w:pPr>
        <w:pStyle w:val="FootnoteText"/>
      </w:pPr>
      <w:r>
        <w:rPr>
          <w:rStyle w:val="FootnoteReference"/>
        </w:rPr>
        <w:footnoteRef/>
      </w:r>
      <w:r>
        <w:t xml:space="preserve">
          <w:r>
            <w:t xml:space="preserve">
              <w:r>
                <w:t xml:space="preserve"> 22.5 feet (6.86 meters)</w:t>
              </w:r>
            </w:t>
          </w:r>
        </w:t>
      </w:r>
    </w:p>
  </w:footnote>
  <w:footnote w:id="10566">
    <w:p>
      <w:pPr>
        <w:pStyle w:val="FootnoteText"/>
      </w:pPr>
      <w:r>
        <w:rPr>
          <w:rStyle w:val="FootnoteReference"/>
        </w:rPr>
        <w:footnoteRef/>
      </w:r>
      <w:r>
        <w:t xml:space="preserve">
          <w:r>
            <w:t xml:space="preserve">
              <w:r>
                <w:t xml:space="preserve"> 22.5 feet (6.86 meters)</w:t>
              </w:r>
            </w:t>
          </w:r>
        </w:t>
      </w:r>
    </w:p>
  </w:footnote>
  <w:footnote w:id="18117">
    <w:p>
      <w:pPr>
        <w:pStyle w:val="FootnoteText"/>
      </w:pPr>
      <w:r>
        <w:rPr>
          <w:rStyle w:val="FootnoteReference"/>
        </w:rPr>
        <w:footnoteRef/>
      </w:r>
      <w:r>
        <w:t xml:space="preserve">
          <w:r>
            <w:t xml:space="preserve">
              <w:r>
                <w:t xml:space="preserve"> 30 feet, 9.14 meters)</w:t>
              </w:r>
            </w:t>
          </w:r>
        </w:t>
      </w:r>
    </w:p>
  </w:footnote>
  <w:footnote w:id="11223">
    <w:p>
      <w:pPr>
        <w:pStyle w:val="FootnoteText"/>
      </w:pPr>
      <w:r>
        <w:rPr>
          <w:rStyle w:val="FootnoteReference"/>
        </w:rPr>
        <w:footnoteRef/>
      </w:r>
      <w:r>
        <w:t xml:space="preserve">
          <w:r>
            <w:t xml:space="preserve">
              <w:r>
                <w:t xml:space="preserve"> 150 feet, 50 yards, 45.72 meters)</w:t>
              </w:r>
            </w:t>
          </w:r>
        </w:t>
      </w:r>
    </w:p>
  </w:footnote>
  <w:footnote w:id="15985">
    <w:p>
      <w:pPr>
        <w:pStyle w:val="FootnoteText"/>
      </w:pPr>
      <w:r>
        <w:rPr>
          <w:rStyle w:val="FootnoteReference"/>
        </w:rPr>
        <w:footnoteRef/>
      </w:r>
      <w:r>
        <w:t xml:space="preserve">
          <w:r>
            <w:t xml:space="preserve">
              <w:r>
                <w:t xml:space="preserve"> 75 feet, 22.86 meters)</w:t>
              </w:r>
            </w:t>
          </w:r>
        </w:t>
      </w:r>
    </w:p>
  </w:footnote>
  <w:footnote w:id="29648">
    <w:p>
      <w:pPr>
        <w:pStyle w:val="FootnoteText"/>
      </w:pPr>
      <w:r>
        <w:rPr>
          <w:rStyle w:val="FootnoteReference"/>
        </w:rPr>
        <w:footnoteRef/>
      </w:r>
      <w:r>
        <w:t xml:space="preserve">
          <w:r>
            <w:t xml:space="preserve">
              <w:r>
                <w:t xml:space="preserve"> 7.5 feet, 2.29 meters)</w:t>
              </w:r>
            </w:t>
          </w:r>
        </w:t>
      </w:r>
    </w:p>
  </w:footnote>
  <w:footnote w:id="18265">
    <w:p>
      <w:pPr>
        <w:pStyle w:val="FootnoteText"/>
      </w:pPr>
      <w:r>
        <w:rPr>
          <w:rStyle w:val="FootnoteReference"/>
        </w:rPr>
        <w:footnoteRef/>
      </w:r>
      <w:r>
        <w:t xml:space="preserve">
          <w:r>
            <w:t xml:space="preserve">
              <w:r>
                <w:t xml:space="preserve"> Lit. “them”</w:t>
              </w:r>
            </w:t>
          </w:r>
        </w:t>
      </w:r>
    </w:p>
  </w:footnote>
  <w:footnote w:id="27112">
    <w:p>
      <w:pPr>
        <w:pStyle w:val="FootnoteText"/>
      </w:pPr>
      <w:r>
        <w:rPr>
          <w:rStyle w:val="FootnoteReference"/>
        </w:rPr>
        <w:footnoteRef/>
      </w:r>
      <w:r>
        <w:t xml:space="preserve">
          <w:r>
            <w:t xml:space="preserve">
              <w:r>
                <w:t xml:space="preserve"> Roughly nine inches (23 centimeters)</w:t>
              </w:r>
            </w:t>
          </w:r>
        </w:t>
      </w:r>
    </w:p>
  </w:footnote>
  <w:footnote w:id="31046">
    <w:p>
      <w:pPr>
        <w:pStyle w:val="FootnoteText"/>
      </w:pPr>
      <w:r>
        <w:rPr>
          <w:rStyle w:val="FootnoteReference"/>
        </w:rPr>
        <w:footnoteRef/>
      </w:r>
      <w:r>
        <w:t xml:space="preserve">
          <w:r>
            <w:t xml:space="preserve">
              <w:r>
                <w:t xml:space="preserve"> Lit. “between the [two] evenings”</w:t>
              </w:r>
            </w:t>
          </w:r>
        </w:t>
      </w:r>
    </w:p>
  </w:footnote>
  <w:footnote w:id="21254">
    <w:p>
      <w:pPr>
        <w:pStyle w:val="FootnoteText"/>
      </w:pPr>
      <w:r>
        <w:rPr>
          <w:rStyle w:val="FootnoteReference"/>
        </w:rPr>
        <w:footnoteRef/>
      </w:r>
      <w:r>
        <w:t xml:space="preserve">
          <w:r>
            <w:t xml:space="preserve">
              <w:r>
                <w:t xml:space="preserve"> 18 inches (45.7 centimeters)</w:t>
              </w:r>
            </w:t>
          </w:r>
        </w:t>
      </w:r>
    </w:p>
  </w:footnote>
  <w:footnote w:id="20747">
    <w:p>
      <w:pPr>
        <w:pStyle w:val="FootnoteText"/>
      </w:pPr>
      <w:r>
        <w:rPr>
          <w:rStyle w:val="FootnoteReference"/>
        </w:rPr>
        <w:footnoteRef/>
      </w:r>
      <w:r>
        <w:t xml:space="preserve">
          <w:r>
            <w:t xml:space="preserve">
              <w:r>
                <w:t xml:space="preserve"> 36 inches (91.4 centimeters)</w:t>
              </w:r>
            </w:t>
          </w:r>
        </w:t>
      </w:r>
    </w:p>
  </w:footnote>
  <w:footnote w:id="16662">
    <w:p>
      <w:pPr>
        <w:pStyle w:val="FootnoteText"/>
      </w:pPr>
      <w:r>
        <w:rPr>
          <w:rStyle w:val="FootnoteReference"/>
        </w:rPr>
        <w:footnoteRef/>
      </w:r>
      <w:r>
        <w:t xml:space="preserve">
          <w:r>
            <w:t xml:space="preserve">
              <w:r>
                <w:t xml:space="preserve"> Roughly .2 ounces (5.5 grams)</w:t>
              </w:r>
            </w:t>
          </w:r>
        </w:t>
      </w:r>
    </w:p>
  </w:footnote>
  <w:footnote w:id="11279">
    <w:p>
      <w:pPr>
        <w:pStyle w:val="FootnoteText"/>
      </w:pPr>
      <w:r>
        <w:rPr>
          <w:rStyle w:val="FootnoteReference"/>
        </w:rPr>
        <w:footnoteRef/>
      </w:r>
      <w:r>
        <w:t xml:space="preserve">
          <w:r>
            <w:t xml:space="preserve">
              <w:r>
                <w:t xml:space="preserve"> Roughly 12.5 pounds (5.8 kilograms)</w:t>
              </w:r>
            </w:t>
          </w:r>
        </w:t>
      </w:r>
    </w:p>
  </w:footnote>
  <w:footnote w:id="10355">
    <w:p>
      <w:pPr>
        <w:pStyle w:val="FootnoteText"/>
      </w:pPr>
      <w:r>
        <w:rPr>
          <w:rStyle w:val="FootnoteReference"/>
        </w:rPr>
        <w:footnoteRef/>
      </w:r>
      <w:r>
        <w:t xml:space="preserve">
          <w:r>
            <w:t xml:space="preserve">
              <w:r>
                <w:t xml:space="preserve"> Or, “free-flowing myrrh”</w:t>
              </w:r>
            </w:t>
          </w:r>
        </w:t>
      </w:r>
    </w:p>
  </w:footnote>
  <w:footnote w:id="25526">
    <w:p>
      <w:pPr>
        <w:pStyle w:val="FootnoteText"/>
      </w:pPr>
      <w:r>
        <w:rPr>
          <w:rStyle w:val="FootnoteReference"/>
        </w:rPr>
        <w:footnoteRef/>
      </w:r>
      <w:r>
        <w:t xml:space="preserve">
          <w:r>
            <w:t xml:space="preserve">
              <w:r>
                <w:t xml:space="preserve"> Roughly 6.25 pounds (2.9 kilograms)</w:t>
              </w:r>
            </w:t>
          </w:r>
        </w:t>
      </w:r>
    </w:p>
  </w:footnote>
  <w:footnote w:id="22446">
    <w:p>
      <w:pPr>
        <w:pStyle w:val="FootnoteText"/>
      </w:pPr>
      <w:r>
        <w:rPr>
          <w:rStyle w:val="FootnoteReference"/>
        </w:rPr>
        <w:footnoteRef/>
      </w:r>
      <w:r>
        <w:t xml:space="preserve">
          <w:r>
            <w:t xml:space="preserve">
              <w:r>
                <w:t xml:space="preserve"> Or “person”</w:t>
              </w:r>
            </w:t>
          </w:r>
        </w:t>
      </w:r>
    </w:p>
  </w:footnote>
  <w:footnote w:id="31314">
    <w:p>
      <w:pPr>
        <w:pStyle w:val="FootnoteText"/>
      </w:pPr>
      <w:r>
        <w:rPr>
          <w:rStyle w:val="FootnoteReference"/>
        </w:rPr>
        <w:footnoteRef/>
      </w:r>
      <w:r>
        <w:t xml:space="preserve">
          <w:r>
            <w:t xml:space="preserve">
              <w:r>
                <w:t xml:space="preserve"> Lit. “he”</w:t>
              </w:r>
            </w:t>
          </w:r>
        </w:t>
      </w:r>
    </w:p>
  </w:footnote>
  <w:footnote w:id="21947">
    <w:p>
      <w:pPr>
        <w:pStyle w:val="FootnoteText"/>
      </w:pPr>
      <w:r>
        <w:rPr>
          <w:rStyle w:val="FootnoteReference"/>
        </w:rPr>
        <w:footnoteRef/>
      </w:r>
      <w:r>
        <w:t xml:space="preserve">
          <w:r>
            <w:t xml:space="preserve">
              <w:r>
                <w:t xml:space="preserve"> Or “against”</w:t>
              </w:r>
            </w:t>
          </w:r>
        </w:t>
      </w:r>
    </w:p>
  </w:footnote>
  <w:footnote w:id="12027">
    <w:p>
      <w:pPr>
        <w:pStyle w:val="FootnoteText"/>
      </w:pPr>
      <w:r>
        <w:rPr>
          <w:rStyle w:val="FootnoteReference"/>
        </w:rPr>
        <w:footnoteRef/>
      </w:r>
      <w:r>
        <w:t xml:space="preserve">
          <w:r>
            <w:t xml:space="preserve">
              <w:r>
                <w:t xml:space="preserve"> Or “worshiped it”</w:t>
              </w:r>
            </w:t>
          </w:r>
        </w:t>
      </w:r>
    </w:p>
  </w:footnote>
  <w:footnote w:id="28896">
    <w:p>
      <w:pPr>
        <w:pStyle w:val="FootnoteText"/>
      </w:pPr>
      <w:r>
        <w:rPr>
          <w:rStyle w:val="FootnoteReference"/>
        </w:rPr>
        <w:footnoteRef/>
      </w:r>
      <w:r>
        <w:t xml:space="preserve">
          <w:r>
            <w:t xml:space="preserve">
              <w:r>
                <w:t xml:space="preserve"> Lit. “It”</w:t>
              </w:r>
            </w:t>
          </w:r>
        </w:t>
      </w:r>
    </w:p>
  </w:footnote>
  <w:footnote w:id="12526">
    <w:p>
      <w:pPr>
        <w:pStyle w:val="FootnoteText"/>
      </w:pPr>
      <w:r>
        <w:rPr>
          <w:rStyle w:val="FootnoteReference"/>
        </w:rPr>
        <w:footnoteRef/>
      </w:r>
      <w:r>
        <w:t xml:space="preserve">
          <w:r>
            <w:t xml:space="preserve">
              <w:r>
                <w:t xml:space="preserve"> Lit.“it”</w:t>
              </w:r>
            </w:t>
          </w:r>
        </w:t>
      </w:r>
    </w:p>
  </w:footnote>
  <w:footnote w:id="31679">
    <w:p>
      <w:pPr>
        <w:pStyle w:val="FootnoteText"/>
      </w:pPr>
      <w:r>
        <w:rPr>
          <w:rStyle w:val="FootnoteReference"/>
        </w:rPr>
        <w:footnoteRef/>
      </w:r>
      <w:r>
        <w:t xml:space="preserve">
          <w:r>
            <w:t xml:space="preserve">
              <w:r>
                <w:t xml:space="preserve"> Lit. “It is”</w:t>
              </w:r>
            </w:t>
          </w:r>
        </w:t>
      </w:r>
    </w:p>
  </w:footnote>
  <w:footnote w:id="11248">
    <w:p>
      <w:pPr>
        <w:pStyle w:val="FootnoteText"/>
      </w:pPr>
      <w:r>
        <w:rPr>
          <w:rStyle w:val="FootnoteReference"/>
        </w:rPr>
        <w:footnoteRef/>
      </w:r>
      <w:r>
        <w:t xml:space="preserve">
          <w:r>
            <w:t xml:space="preserve">
              <w:r>
                <w:t xml:space="preserve"> Lit. “he”</w:t>
              </w:r>
            </w:t>
          </w:r>
        </w:t>
      </w:r>
    </w:p>
  </w:footnote>
  <w:footnote w:id="30337">
    <w:p>
      <w:pPr>
        <w:pStyle w:val="FootnoteText"/>
      </w:pPr>
      <w:r>
        <w:rPr>
          <w:rStyle w:val="FootnoteReference"/>
        </w:rPr>
        <w:footnoteRef/>
      </w:r>
      <w:r>
        <w:t xml:space="preserve">
          <w:r>
            <w:t xml:space="preserve">
              <w:r>
                <w:t xml:space="preserve"> Or “worshiped”</w:t>
              </w:r>
            </w:t>
          </w:r>
        </w:t>
      </w:r>
    </w:p>
  </w:footnote>
  <w:footnote w:id="30161">
    <w:p>
      <w:pPr>
        <w:pStyle w:val="FootnoteText"/>
      </w:pPr>
      <w:r>
        <w:rPr>
          <w:rStyle w:val="FootnoteReference"/>
        </w:rPr>
        <w:footnoteRef/>
      </w:r>
      <w:r>
        <w:t xml:space="preserve">
          <w:r>
            <w:t xml:space="preserve">
              <w:r>
                <w:t xml:space="preserve"> Lit. “he”</w:t>
              </w:r>
            </w:t>
          </w:r>
        </w:t>
      </w:r>
    </w:p>
  </w:footnote>
  <w:footnote w:id="19964">
    <w:p>
      <w:pPr>
        <w:pStyle w:val="FootnoteText"/>
      </w:pPr>
      <w:r>
        <w:rPr>
          <w:rStyle w:val="FootnoteReference"/>
        </w:rPr>
        <w:footnoteRef/>
      </w:r>
      <w:r>
        <w:t xml:space="preserve">
          <w:r>
            <w:t xml:space="preserve">
              <w:r>
                <w:t xml:space="preserve"> Lit. “face.”</w:t>
              </w:r>
            </w:t>
          </w:r>
        </w:t>
      </w:r>
    </w:p>
  </w:footnote>
  <w:footnote w:id="24211">
    <w:p>
      <w:pPr>
        <w:pStyle w:val="FootnoteText"/>
      </w:pPr>
      <w:r>
        <w:rPr>
          <w:rStyle w:val="FootnoteReference"/>
        </w:rPr>
        <w:footnoteRef/>
      </w:r>
      <w:r>
        <w:t xml:space="preserve">
          <w:r>
            <w:t xml:space="preserve">
              <w:r>
                <w:t xml:space="preserve"> Lit. “face.”</w:t>
              </w:r>
            </w:t>
          </w:r>
        </w:t>
      </w:r>
    </w:p>
  </w:footnote>
  <w:footnote w:id="23597">
    <w:p>
      <w:pPr>
        <w:pStyle w:val="FootnoteText"/>
      </w:pPr>
      <w:r>
        <w:rPr>
          <w:rStyle w:val="FootnoteReference"/>
        </w:rPr>
        <w:footnoteRef/>
      </w:r>
      <w:r>
        <w:t xml:space="preserve">
          <w:r>
            <w:t xml:space="preserve">
              <w:r>
                <w:t xml:space="preserve"> Or “mountain”</w:t>
              </w:r>
            </w:t>
          </w:r>
        </w:t>
      </w:r>
    </w:p>
  </w:footnote>
  <w:footnote w:id="19255">
    <w:p>
      <w:pPr>
        <w:pStyle w:val="FootnoteText"/>
      </w:pPr>
      <w:r>
        <w:rPr>
          <w:rStyle w:val="FootnoteReference"/>
        </w:rPr>
        <w:footnoteRef/>
      </w:r>
      <w:r>
        <w:t xml:space="preserve">
          <w:r>
            <w:t xml:space="preserve">
              <w:r>
                <w:t xml:space="preserve"> Or “worshiped”</w:t>
              </w:r>
            </w:t>
          </w:r>
        </w:t>
      </w:r>
    </w:p>
  </w:footnote>
  <w:footnote w:id="16376">
    <w:p>
      <w:pPr>
        <w:pStyle w:val="FootnoteText"/>
      </w:pPr>
      <w:r>
        <w:rPr>
          <w:rStyle w:val="FootnoteReference"/>
        </w:rPr>
        <w:footnoteRef/>
      </w:r>
      <w:r>
        <w:t xml:space="preserve">
          <w:r>
            <w:t xml:space="preserve">
              <w:r>
                <w:t xml:space="preserve"> Or, “possession”</w:t>
              </w:r>
            </w:t>
          </w:r>
        </w:t>
      </w:r>
    </w:p>
  </w:footnote>
  <w:footnote w:id="16822">
    <w:p>
      <w:pPr>
        <w:pStyle w:val="FootnoteText"/>
      </w:pPr>
      <w:r>
        <w:rPr>
          <w:rStyle w:val="FootnoteReference"/>
        </w:rPr>
        <w:footnoteRef/>
      </w:r>
      <w:r>
        <w:t xml:space="preserve">
          <w:r>
            <w:t xml:space="preserve">
              <w:r>
                <w:t xml:space="preserve"> Or, “fearful”</w:t>
              </w:r>
            </w:t>
          </w:r>
        </w:t>
      </w:r>
    </w:p>
  </w:footnote>
  <w:footnote w:id="22783">
    <w:p>
      <w:pPr>
        <w:pStyle w:val="FootnoteText"/>
      </w:pPr>
      <w:r>
        <w:rPr>
          <w:rStyle w:val="FootnoteReference"/>
        </w:rPr>
        <w:footnoteRef/>
      </w:r>
      <w:r>
        <w:t xml:space="preserve">
          <w:r>
            <w:t xml:space="preserve">
              <w:r>
                <w:t xml:space="preserve"> Or “bow down to”</w:t>
              </w:r>
            </w:t>
          </w:r>
        </w:t>
      </w:r>
    </w:p>
  </w:footnote>
  <w:footnote w:id="27554">
    <w:p>
      <w:pPr>
        <w:pStyle w:val="FootnoteText"/>
      </w:pPr>
      <w:r>
        <w:rPr>
          <w:rStyle w:val="FootnoteReference"/>
        </w:rPr>
        <w:footnoteRef/>
      </w:r>
      <w:r>
        <w:t xml:space="preserve">
          <w:r>
            <w:t xml:space="preserve">
              <w:r>
                <w:t xml:space="preserve"> Lit, “He”</w:t>
              </w:r>
            </w:t>
          </w:r>
        </w:t>
      </w:r>
    </w:p>
  </w:footnote>
  <w:footnote w:id="26026">
    <w:p>
      <w:pPr>
        <w:pStyle w:val="FootnoteText"/>
      </w:pPr>
      <w:r>
        <w:rPr>
          <w:rStyle w:val="FootnoteReference"/>
        </w:rPr>
        <w:footnoteRef/>
      </w:r>
      <w:r>
        <w:t xml:space="preserve">
          <w:r>
            <w:t xml:space="preserve">
              <w:r>
                <w:t xml:space="preserve"> In Hebrew, the “ten words”</w:t>
              </w:r>
            </w:t>
          </w:r>
        </w:t>
      </w:r>
    </w:p>
  </w:footnote>
  <w:footnote w:id="24791">
    <w:p>
      <w:pPr>
        <w:pStyle w:val="FootnoteText"/>
      </w:pPr>
      <w:r>
        <w:rPr>
          <w:rStyle w:val="FootnoteReference"/>
        </w:rPr>
        <w:footnoteRef/>
      </w:r>
      <w:r>
        <w:t xml:space="preserve">
          <w:r>
            <w:t xml:space="preserve">
              <w:r>
                <w:t xml:space="preserve"> 42 feet (12.8 meters)</w:t>
              </w:r>
            </w:t>
          </w:r>
        </w:t>
      </w:r>
    </w:p>
  </w:footnote>
  <w:footnote w:id="19550">
    <w:p>
      <w:pPr>
        <w:pStyle w:val="FootnoteText"/>
      </w:pPr>
      <w:r>
        <w:rPr>
          <w:rStyle w:val="FootnoteReference"/>
        </w:rPr>
        <w:footnoteRef/>
      </w:r>
      <w:r>
        <w:t xml:space="preserve">
          <w:r>
            <w:t xml:space="preserve">
              <w:r>
                <w:t xml:space="preserve"> 6 feet (1.8 meters)</w:t>
              </w:r>
            </w:t>
          </w:r>
        </w:t>
      </w:r>
    </w:p>
  </w:footnote>
  <w:footnote w:id="10661">
    <w:p>
      <w:pPr>
        <w:pStyle w:val="FootnoteText"/>
      </w:pPr>
      <w:r>
        <w:rPr>
          <w:rStyle w:val="FootnoteReference"/>
        </w:rPr>
        <w:footnoteRef/>
      </w:r>
      <w:r>
        <w:t xml:space="preserve">
          <w:r>
            <w:t xml:space="preserve">
              <w:r>
                <w:t xml:space="preserve"> 45 feet (13.7 meters)</w:t>
              </w:r>
            </w:t>
          </w:r>
        </w:t>
      </w:r>
    </w:p>
  </w:footnote>
  <w:footnote w:id="16987">
    <w:p>
      <w:pPr>
        <w:pStyle w:val="FootnoteText"/>
      </w:pPr>
      <w:r>
        <w:rPr>
          <w:rStyle w:val="FootnoteReference"/>
        </w:rPr>
        <w:footnoteRef/>
      </w:r>
      <w:r>
        <w:t xml:space="preserve">
          <w:r>
            <w:t xml:space="preserve">
              <w:r>
                <w:t xml:space="preserve"> 6 feet (1.8 meters)</w:t>
              </w:r>
            </w:t>
          </w:r>
        </w:t>
      </w:r>
    </w:p>
  </w:footnote>
  <w:footnote w:id="12310">
    <w:p>
      <w:pPr>
        <w:pStyle w:val="FootnoteText"/>
      </w:pPr>
      <w:r>
        <w:rPr>
          <w:rStyle w:val="FootnoteReference"/>
        </w:rPr>
        <w:footnoteRef/>
      </w:r>
      <w:r>
        <w:t xml:space="preserve">
          <w:r>
            <w:t xml:space="preserve">
              <w:r>
                <w:t xml:space="preserve"> 15 feet (4.57 meters)</w:t>
              </w:r>
            </w:t>
          </w:r>
        </w:t>
      </w:r>
    </w:p>
  </w:footnote>
  <w:footnote w:id="29834">
    <w:p>
      <w:pPr>
        <w:pStyle w:val="FootnoteText"/>
      </w:pPr>
      <w:r>
        <w:rPr>
          <w:rStyle w:val="FootnoteReference"/>
        </w:rPr>
        <w:footnoteRef/>
      </w:r>
      <w:r>
        <w:t xml:space="preserve">
          <w:r>
            <w:t xml:space="preserve">
              <w:r>
                <w:t xml:space="preserve"> 27 inches (68.5 centimeters)</w:t>
              </w:r>
            </w:t>
          </w:r>
        </w:t>
      </w:r>
    </w:p>
  </w:footnote>
  <w:footnote w:id="13688">
    <w:p>
      <w:pPr>
        <w:pStyle w:val="FootnoteText"/>
      </w:pPr>
      <w:r>
        <w:rPr>
          <w:rStyle w:val="FootnoteReference"/>
        </w:rPr>
        <w:footnoteRef/>
      </w:r>
      <w:r>
        <w:t xml:space="preserve">
          <w:r>
            <w:t xml:space="preserve">
              <w:r>
                <w:t xml:space="preserve"> 45 inches (114.3 centimeters)</w:t>
              </w:r>
            </w:t>
          </w:r>
        </w:t>
      </w:r>
    </w:p>
  </w:footnote>
  <w:footnote w:id="26561">
    <w:p>
      <w:pPr>
        <w:pStyle w:val="FootnoteText"/>
      </w:pPr>
      <w:r>
        <w:rPr>
          <w:rStyle w:val="FootnoteReference"/>
        </w:rPr>
        <w:footnoteRef/>
      </w:r>
      <w:r>
        <w:t xml:space="preserve">
          <w:r>
            <w:t xml:space="preserve">
              <w:r>
                <w:t xml:space="preserve"> 27 inches (68.5 centimeters)</w:t>
              </w:r>
            </w:t>
          </w:r>
        </w:t>
      </w:r>
    </w:p>
  </w:footnote>
  <w:footnote w:id="22008">
    <w:p>
      <w:pPr>
        <w:pStyle w:val="FootnoteText"/>
      </w:pPr>
      <w:r>
        <w:rPr>
          <w:rStyle w:val="FootnoteReference"/>
        </w:rPr>
        <w:footnoteRef/>
      </w:r>
      <w:r>
        <w:t xml:space="preserve">
          <w:r>
            <w:t xml:space="preserve">
              <w:r>
                <w:t xml:space="preserve"> 45 inches (114.3 centimeters)</w:t>
              </w:r>
            </w:t>
          </w:r>
        </w:t>
      </w:r>
    </w:p>
  </w:footnote>
  <w:footnote w:id="13622">
    <w:p>
      <w:pPr>
        <w:pStyle w:val="FootnoteText"/>
      </w:pPr>
      <w:r>
        <w:rPr>
          <w:rStyle w:val="FootnoteReference"/>
        </w:rPr>
        <w:footnoteRef/>
      </w:r>
      <w:r>
        <w:t xml:space="preserve">
          <w:r>
            <w:t xml:space="preserve">
              <w:r>
                <w:t xml:space="preserve"> 27 inches (68.5 centimeters)</w:t>
              </w:r>
            </w:t>
          </w:r>
        </w:t>
      </w:r>
    </w:p>
  </w:footnote>
  <w:footnote w:id="21433">
    <w:p>
      <w:pPr>
        <w:pStyle w:val="FootnoteText"/>
      </w:pPr>
      <w:r>
        <w:rPr>
          <w:rStyle w:val="FootnoteReference"/>
        </w:rPr>
        <w:footnoteRef/>
      </w:r>
      <w:r>
        <w:t xml:space="preserve">
          <w:r>
            <w:t xml:space="preserve">
              <w:r>
                <w:t xml:space="preserve"> 36 inches (91.4 centimeters)</w:t>
              </w:r>
            </w:t>
          </w:r>
        </w:t>
      </w:r>
    </w:p>
  </w:footnote>
  <w:footnote w:id="28952">
    <w:p>
      <w:pPr>
        <w:pStyle w:val="FootnoteText"/>
      </w:pPr>
      <w:r>
        <w:rPr>
          <w:rStyle w:val="FootnoteReference"/>
        </w:rPr>
        <w:footnoteRef/>
      </w:r>
      <w:r>
        <w:t xml:space="preserve">
          <w:r>
            <w:t xml:space="preserve">
              <w:r>
                <w:t xml:space="preserve"> 18 inches (45.7 centimeters)</w:t>
              </w:r>
            </w:t>
          </w:r>
        </w:t>
      </w:r>
    </w:p>
  </w:footnote>
  <w:footnote w:id="23220">
    <w:p>
      <w:pPr>
        <w:pStyle w:val="FootnoteText"/>
      </w:pPr>
      <w:r>
        <w:rPr>
          <w:rStyle w:val="FootnoteReference"/>
        </w:rPr>
        <w:footnoteRef/>
      </w:r>
      <w:r>
        <w:t xml:space="preserve">
          <w:r>
            <w:t xml:space="preserve">
              <w:r>
                <w:t xml:space="preserve"> 27 inches (68.5 centimeters)</w:t>
              </w:r>
            </w:t>
          </w:r>
        </w:t>
      </w:r>
    </w:p>
  </w:footnote>
  <w:footnote w:id="26110">
    <w:p>
      <w:pPr>
        <w:pStyle w:val="FootnoteText"/>
      </w:pPr>
      <w:r>
        <w:rPr>
          <w:rStyle w:val="FootnoteReference"/>
        </w:rPr>
        <w:footnoteRef/>
      </w:r>
      <w:r>
        <w:t xml:space="preserve">
          <w:r>
            <w:t xml:space="preserve">
              <w:r>
                <w:t xml:space="preserve"> About 75 lbs (34 kg)</w:t>
              </w:r>
            </w:t>
          </w:r>
        </w:t>
      </w:r>
    </w:p>
  </w:footnote>
  <w:footnote w:id="21752">
    <w:p>
      <w:pPr>
        <w:pStyle w:val="FootnoteText"/>
      </w:pPr>
      <w:r>
        <w:rPr>
          <w:rStyle w:val="FootnoteReference"/>
        </w:rPr>
        <w:footnoteRef/>
      </w:r>
      <w:r>
        <w:t xml:space="preserve">
          <w:r>
            <w:t xml:space="preserve">
              <w:r>
                <w:t xml:space="preserve"> 18 inches (45.7 centimeters)</w:t>
              </w:r>
            </w:t>
          </w:r>
        </w:t>
      </w:r>
    </w:p>
  </w:footnote>
  <w:footnote w:id="31484">
    <w:p>
      <w:pPr>
        <w:pStyle w:val="FootnoteText"/>
      </w:pPr>
      <w:r>
        <w:rPr>
          <w:rStyle w:val="FootnoteReference"/>
        </w:rPr>
        <w:footnoteRef/>
      </w:r>
      <w:r>
        <w:t xml:space="preserve">
          <w:r>
            <w:t xml:space="preserve">
              <w:r>
                <w:t xml:space="preserve"> 36 inches (91.4 centimeters)</w:t>
              </w:r>
            </w:t>
          </w:r>
        </w:t>
      </w:r>
    </w:p>
  </w:footnote>
  <w:footnote w:id="17559">
    <w:p>
      <w:pPr>
        <w:pStyle w:val="FootnoteText"/>
      </w:pPr>
      <w:r>
        <w:rPr>
          <w:rStyle w:val="FootnoteReference"/>
        </w:rPr>
        <w:footnoteRef/>
      </w:r>
      <w:r>
        <w:t xml:space="preserve">
          <w:r>
            <w:t xml:space="preserve">
              <w:r>
                <w:t xml:space="preserve"> 7.5 feet (2.3 meters)</w:t>
              </w:r>
            </w:t>
          </w:r>
        </w:t>
      </w:r>
    </w:p>
  </w:footnote>
  <w:footnote w:id="18286">
    <w:p>
      <w:pPr>
        <w:pStyle w:val="FootnoteText"/>
      </w:pPr>
      <w:r>
        <w:rPr>
          <w:rStyle w:val="FootnoteReference"/>
        </w:rPr>
        <w:footnoteRef/>
      </w:r>
      <w:r>
        <w:t xml:space="preserve">
          <w:r>
            <w:t xml:space="preserve">
              <w:r>
                <w:t xml:space="preserve"> 4.5 feet (1.4 meters)</w:t>
              </w:r>
            </w:t>
          </w:r>
        </w:t>
      </w:r>
    </w:p>
  </w:footnote>
  <w:footnote w:id="29681">
    <w:p>
      <w:pPr>
        <w:pStyle w:val="FootnoteText"/>
      </w:pPr>
      <w:r>
        <w:rPr>
          <w:rStyle w:val="FootnoteReference"/>
        </w:rPr>
        <w:footnoteRef/>
      </w:r>
      <w:r>
        <w:t xml:space="preserve">
          <w:r>
            <w:t xml:space="preserve">
              <w:r>
                <w:t xml:space="preserve"> Roughly 150 feet (45.7 meters)</w:t>
              </w:r>
            </w:t>
          </w:r>
        </w:t>
      </w:r>
    </w:p>
  </w:footnote>
  <w:footnote w:id="23954">
    <w:p>
      <w:pPr>
        <w:pStyle w:val="FootnoteText"/>
      </w:pPr>
      <w:r>
        <w:rPr>
          <w:rStyle w:val="FootnoteReference"/>
        </w:rPr>
        <w:footnoteRef/>
      </w:r>
      <w:r>
        <w:t xml:space="preserve">
          <w:r>
            <w:t xml:space="preserve">
              <w:r>
                <w:t xml:space="preserve"> Roughly 75 feet (22.8 meters)</w:t>
              </w:r>
            </w:t>
          </w:r>
        </w:t>
      </w:r>
    </w:p>
  </w:footnote>
  <w:footnote w:id="13817">
    <w:p>
      <w:pPr>
        <w:pStyle w:val="FootnoteText"/>
      </w:pPr>
      <w:r>
        <w:rPr>
          <w:rStyle w:val="FootnoteReference"/>
        </w:rPr>
        <w:footnoteRef/>
      </w:r>
      <w:r>
        <w:t xml:space="preserve">
          <w:r>
            <w:t xml:space="preserve">
              <w:r>
                <w:t xml:space="preserve"> Roughly 22.5 feet (6.8 meters)</w:t>
              </w:r>
            </w:t>
          </w:r>
        </w:t>
      </w:r>
    </w:p>
  </w:footnote>
  <w:footnote w:id="23259">
    <w:p>
      <w:pPr>
        <w:pStyle w:val="FootnoteText"/>
      </w:pPr>
      <w:r>
        <w:rPr>
          <w:rStyle w:val="FootnoteReference"/>
        </w:rPr>
        <w:footnoteRef/>
      </w:r>
      <w:r>
        <w:t xml:space="preserve">
          <w:r>
            <w:t xml:space="preserve">
              <w:r>
                <w:t xml:space="preserve"> Roughly 22.5 feet (6.8 meters)</w:t>
              </w:r>
            </w:t>
          </w:r>
        </w:t>
      </w:r>
    </w:p>
  </w:footnote>
  <w:footnote w:id="29832">
    <w:p>
      <w:pPr>
        <w:pStyle w:val="FootnoteText"/>
      </w:pPr>
      <w:r>
        <w:rPr>
          <w:rStyle w:val="FootnoteReference"/>
        </w:rPr>
        <w:footnoteRef/>
      </w:r>
      <w:r>
        <w:t xml:space="preserve">
          <w:r>
            <w:t xml:space="preserve">
              <w:r>
                <w:t xml:space="preserve"> A total weight of roughly 2,194 lbs (995 kilograms)</w:t>
              </w:r>
            </w:t>
          </w:r>
        </w:t>
      </w:r>
    </w:p>
  </w:footnote>
  <w:footnote w:id="27299">
    <w:p>
      <w:pPr>
        <w:pStyle w:val="FootnoteText"/>
      </w:pPr>
      <w:r>
        <w:rPr>
          <w:rStyle w:val="FootnoteReference"/>
        </w:rPr>
        <w:footnoteRef/>
      </w:r>
      <w:r>
        <w:t xml:space="preserve">
          <w:r>
            <w:t xml:space="preserve">
              <w:r>
                <w:t xml:space="preserve"> Roughly 3.75 tons (3.4 metric tons)</w:t>
              </w:r>
            </w:t>
          </w:r>
        </w:t>
      </w:r>
    </w:p>
  </w:footnote>
  <w:footnote w:id="16558">
    <w:p>
      <w:pPr>
        <w:pStyle w:val="FootnoteText"/>
      </w:pPr>
      <w:r>
        <w:rPr>
          <w:rStyle w:val="FootnoteReference"/>
        </w:rPr>
        <w:footnoteRef/>
      </w:r>
      <w:r>
        <w:t xml:space="preserve">
          <w:r>
            <w:t xml:space="preserve">
              <w:r>
                <w:t xml:space="preserve"> Roughly 44 pounds (20 kilograms)</w:t>
              </w:r>
            </w:t>
          </w:r>
        </w:t>
      </w:r>
    </w:p>
  </w:footnote>
  <w:footnote w:id="25502">
    <w:p>
      <w:pPr>
        <w:pStyle w:val="FootnoteText"/>
      </w:pPr>
      <w:r>
        <w:rPr>
          <w:rStyle w:val="FootnoteReference"/>
        </w:rPr>
        <w:footnoteRef/>
      </w:r>
      <w:r>
        <w:t xml:space="preserve">
          <w:r>
            <w:t xml:space="preserve">
              <w:r>
                <w:t xml:space="preserve"> A talent was roughly 75 pounds (34 kilograms).</w:t>
              </w:r>
            </w:t>
          </w:r>
        </w:t>
      </w:r>
    </w:p>
  </w:footnote>
  <w:footnote w:id="32626">
    <w:p>
      <w:pPr>
        <w:pStyle w:val="FootnoteText"/>
      </w:pPr>
      <w:r>
        <w:rPr>
          <w:rStyle w:val="FootnoteReference"/>
        </w:rPr>
        <w:footnoteRef/>
      </w:r>
      <w:r>
        <w:t xml:space="preserve">
          <w:r>
            <w:t xml:space="preserve">
              <w:r>
                <w:t xml:space="preserve"> Roughly 5,250 pounds (2381 kilograms)</w:t>
              </w:r>
            </w:t>
          </w:r>
        </w:t>
      </w:r>
    </w:p>
  </w:footnote>
  <w:footnote w:id="15611">
    <w:p>
      <w:pPr>
        <w:pStyle w:val="FootnoteText"/>
      </w:pPr>
      <w:r>
        <w:rPr>
          <w:rStyle w:val="FootnoteReference"/>
        </w:rPr>
        <w:footnoteRef/>
      </w:r>
      <w:r>
        <w:t xml:space="preserve">
          <w:r>
            <w:t xml:space="preserve">
              <w:r>
                <w:t xml:space="preserve"> Roughly 60 pounds (27 kilograms)</w:t>
              </w:r>
            </w:t>
          </w:r>
        </w:t>
      </w:r>
    </w:p>
  </w:footnote>
  <w:footnote w:id="32407">
    <w:p>
      <w:pPr>
        <w:pStyle w:val="FootnoteText"/>
      </w:pPr>
      <w:r>
        <w:rPr>
          <w:rStyle w:val="FootnoteReference"/>
        </w:rPr>
        <w:footnoteRef/>
      </w:r>
      <w:r>
        <w:t xml:space="preserve">
          <w:r>
            <w:t xml:space="preserve">
              <w:r>
                <w:t xml:space="preserve"> Roughly nine inches (23 centimeters)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641638">
    <w:multiLevelType w:val="hybridMultilevel"/>
    <w:lvl w:ilvl="0" w:tplc="91362303">
      <w:start w:val="1"/>
      <w:numFmt w:val="decimal"/>
      <w:lvlText w:val="%1."/>
      <w:lvlJc w:val="left"/>
      <w:pPr>
        <w:ind w:left="720" w:hanging="360"/>
      </w:pPr>
    </w:lvl>
    <w:lvl w:ilvl="1" w:tplc="91362303" w:tentative="1">
      <w:start w:val="1"/>
      <w:numFmt w:val="lowerLetter"/>
      <w:lvlText w:val="%2."/>
      <w:lvlJc w:val="left"/>
      <w:pPr>
        <w:ind w:left="1440" w:hanging="360"/>
      </w:pPr>
    </w:lvl>
    <w:lvl w:ilvl="2" w:tplc="91362303" w:tentative="1">
      <w:start w:val="1"/>
      <w:numFmt w:val="lowerRoman"/>
      <w:lvlText w:val="%3."/>
      <w:lvlJc w:val="right"/>
      <w:pPr>
        <w:ind w:left="2160" w:hanging="180"/>
      </w:pPr>
    </w:lvl>
    <w:lvl w:ilvl="3" w:tplc="91362303" w:tentative="1">
      <w:start w:val="1"/>
      <w:numFmt w:val="decimal"/>
      <w:lvlText w:val="%4."/>
      <w:lvlJc w:val="left"/>
      <w:pPr>
        <w:ind w:left="2880" w:hanging="360"/>
      </w:pPr>
    </w:lvl>
    <w:lvl w:ilvl="4" w:tplc="91362303" w:tentative="1">
      <w:start w:val="1"/>
      <w:numFmt w:val="lowerLetter"/>
      <w:lvlText w:val="%5."/>
      <w:lvlJc w:val="left"/>
      <w:pPr>
        <w:ind w:left="3600" w:hanging="360"/>
      </w:pPr>
    </w:lvl>
    <w:lvl w:ilvl="5" w:tplc="91362303" w:tentative="1">
      <w:start w:val="1"/>
      <w:numFmt w:val="lowerRoman"/>
      <w:lvlText w:val="%6."/>
      <w:lvlJc w:val="right"/>
      <w:pPr>
        <w:ind w:left="4320" w:hanging="180"/>
      </w:pPr>
    </w:lvl>
    <w:lvl w:ilvl="6" w:tplc="91362303" w:tentative="1">
      <w:start w:val="1"/>
      <w:numFmt w:val="decimal"/>
      <w:lvlText w:val="%7."/>
      <w:lvlJc w:val="left"/>
      <w:pPr>
        <w:ind w:left="5040" w:hanging="360"/>
      </w:pPr>
    </w:lvl>
    <w:lvl w:ilvl="7" w:tplc="91362303" w:tentative="1">
      <w:start w:val="1"/>
      <w:numFmt w:val="lowerLetter"/>
      <w:lvlText w:val="%8."/>
      <w:lvlJc w:val="left"/>
      <w:pPr>
        <w:ind w:left="5760" w:hanging="360"/>
      </w:pPr>
    </w:lvl>
    <w:lvl w:ilvl="8" w:tplc="91362303" w:tentative="1">
      <w:start w:val="1"/>
      <w:numFmt w:val="lowerRoman"/>
      <w:lvlText w:val="%9."/>
      <w:lvlJc w:val="right"/>
      <w:pPr>
        <w:ind w:left="6480" w:hanging="180"/>
      </w:pPr>
    </w:lvl>
  </w:abstractNum>
  <w:abstractNum w:abstractNumId="6829">
    <w:multiLevelType w:val="hybridMultilevel"/>
    <w:lvl w:ilvl="0" w:tplc="436138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829">
    <w:abstractNumId w:val="6829"/>
  </w:num>
  <w:num w:numId="74641638">
    <w:abstractNumId w:val="746416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1842201" Type="http://schemas.openxmlformats.org/officeDocument/2006/relationships/numbering" Target="numbering.xml"/><Relationship Id="rId688646427" Type="http://schemas.openxmlformats.org/officeDocument/2006/relationships/comments" Target="comments.xml"/><Relationship Id="rId389568680f1acfbe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