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9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FootnoteReference"/>
        </w:rPr>
        <w:footnoteReference w:id="16019"/>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FootnoteReference"/>
        </w:rPr>
        <w:footnoteReference w:id="23196"/>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FootnoteReference"/>
        </w:rPr>
        <w:footnoteReference w:id="15668"/>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FootnoteReference"/>
        </w:rPr>
        <w:footnoteReference w:id="31376"/>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FootnoteReference"/>
        </w:rPr>
        <w:footnoteReference w:id="10128"/>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Normal"/>
        <w:widowControl w:val="on"/>
        <w:spacing w:before="240" w:after="240" w:line="240" w:lineRule="auto"/>
        <w:ind w:left="0" w:right="0" w:firstLine="1"/>
        <w:jc w:val="left"/>
      </w:pPr>
      <w:r>
        <w:rPr>
          <w:b/>
          <w:bCs/>
        </w:rPr>
        <w:t xml:space="preserve">“and crowned him with glory.”</w:t>
      </w:r>
      <w:r>
        <w:rPr/>
        <w:t xml:space="preserve"> In Isaiah 48:11, God says, “I will not give my glory to another.” However, He will give humans their own glory.</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Word Study: “Hades.”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FootnoteReference"/>
        </w:rPr>
        <w:footnoteReference w:id="13473"/>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487268680f3f05ffb" w:history="1">
        <w:r>
          <w:rPr>
            <w:u w:val="single"/>
          </w:rPr>
          <w:t xml:space="preserve">NET text note</w:t>
        </w:r>
      </w:hyperlink>
      <w:r>
        <w:rPr/>
        <w:t xml:space="preserve">).</w:t>
      </w:r>
      <w:r>
        <w:rPr>
          <w:rStyle w:val="FootnoteReference"/>
        </w:rPr>
        <w:footnoteReference w:id="16677"/>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on both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FootnoteReference"/>
        </w:rPr>
        <w:footnoteReference w:id="21786"/>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FootnoteReference"/>
        </w:rPr>
        <w:footnoteReference w:id="11204"/>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FootnoteReference"/>
        </w:rPr>
        <w:footnoteReference w:id="22504"/>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FootnoteReference"/>
        </w:rPr>
        <w:footnoteReference w:id="26236"/>
      </w:r>
      <w:r>
        <w:rPr/>
        <w:t xml:space="preserve"> defines as “holy adornment,” while the Holladay</w:t>
      </w:r>
      <w:r>
        <w:rPr>
          <w:rStyle w:val="FootnoteReference"/>
        </w:rPr>
        <w:footnoteReference w:id="32224"/>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FootnoteReference"/>
        </w:rPr>
        <w:footnoteReference w:id="31449"/>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VersHead"/>
        <w:widowControl w:val="on"/>
      </w:pPr>
      <w:r>
        <w:rPr/>
        <w:t xml:space="preserve">Psa 34:15</w:t>
      </w:r>
    </w:p>
    <w:p>
      <w:pPr>
        <w:pStyle w:val="rNormal"/>
        <w:widowControl w:val="on"/>
        <w:spacing w:before="240" w:after="240" w:line="240" w:lineRule="auto"/>
        <w:ind w:left="0" w:right="0" w:firstLine="1"/>
        <w:jc w:val="left"/>
      </w:pPr>
      <w:r>
        <w:rPr>
          <w:b/>
          <w:bCs/>
        </w:rPr>
        <w:t xml:space="preserve">“Yahweh’s eyes are toward the righteous. Yes, his ears </w:t>
      </w:r>
      <w:r>
        <w:rPr>
          <w:b/>
          <w:bCs/>
          <w:i/>
          <w:iCs/>
        </w:rPr>
        <w:t xml:space="preserve">listen</w:t>
      </w:r>
      <w:r>
        <w:rPr>
          <w:b/>
          <w:bCs/>
        </w:rPr>
        <w:t xml:space="preserve"> to their cry for help.”</w:t>
      </w:r>
      <w:r>
        <w:rPr/>
        <w:t xml:space="preserve"> Psalm 34:15-16 is quoted in the New Testament (1 Pet. 3:12)</w:t>
      </w:r>
    </w:p>
    <w:p>
      <w:pPr>
        <w:pStyle w:val="rVersHead"/>
        <w:widowControl w:val="on"/>
      </w:pPr>
      <w:r>
        <w:rPr/>
        <w:t xml:space="preserve">Psa 34:16</w:t>
      </w:r>
    </w:p>
    <w:p>
      <w:pPr>
        <w:pStyle w:val="rNormal"/>
        <w:widowControl w:val="on"/>
        <w:spacing w:before="240" w:after="240" w:line="240" w:lineRule="auto"/>
        <w:ind w:left="0" w:right="0" w:firstLine="1"/>
        <w:jc w:val="left"/>
      </w:pPr>
      <w:r>
        <w:rPr>
          <w:b/>
          <w:bCs/>
        </w:rPr>
        <w:t xml:space="preserve">“Yahweh’s face is against those who do evil.”</w:t>
      </w:r>
      <w:r>
        <w:rPr/>
        <w:t xml:space="preserve"> Psalm 34:15-16 is quoted in the New Testament (1 Pet. 3:12)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37:29</w:t>
      </w:r>
    </w:p>
    <w:p>
      <w:pPr>
        <w:pStyle w:val="rNormal"/>
        <w:widowControl w:val="on"/>
        <w:spacing w:before="240" w:after="240" w:line="240" w:lineRule="auto"/>
        <w:ind w:left="0" w:right="0" w:firstLine="1"/>
        <w:jc w:val="left"/>
      </w:pPr>
      <w:r>
        <w:rPr>
          <w:b/>
          <w:bCs/>
        </w:rPr>
        <w:t xml:space="preserve">“the land.”</w:t>
      </w:r>
      <w:r>
        <w:rPr/>
        <w:t xml:space="preserve"> In this context, “the land” likely refers to the land God promised Abraham and Israel. However, the Hebrew word </w:t>
      </w:r>
      <w:r>
        <w:rPr>
          <w:i/>
          <w:iCs/>
        </w:rPr>
        <w:t xml:space="preserve">ʾeretz</w:t>
      </w:r>
      <w:r>
        <w:rPr/>
        <w:t xml:space="preserve"> (#0776 אֶרֶץ) can mean “land,” “territory,” “region,” or “earth.” Since we know that the Messiah’s kingdom will cover the whole earth, the meaning of the verse can be expanded to refer to the earth. Thus, the sentence can have the expanded meaning of “The righteous will inherit the earth and live on it forever.” This is what Jesus taught (Matt. 5:5). In Jesus’ teaching, the “humble” are those who are humble enough to obey God and thus are righteous in His sight.</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37:33</w:t>
      </w:r>
    </w:p>
    <w:p>
      <w:pPr>
        <w:pStyle w:val="rNormal"/>
        <w:widowControl w:val="on"/>
        <w:spacing w:before="240" w:after="240" w:line="240" w:lineRule="auto"/>
        <w:ind w:left="0" w:right="0" w:firstLine="1"/>
        <w:jc w:val="left"/>
      </w:pPr>
      <w:r>
        <w:rPr>
          <w:b/>
          <w:bCs/>
        </w:rPr>
        <w:t xml:space="preserve">“Yahweh will not leave the righteous in his hand.”</w:t>
      </w:r>
      <w:r>
        <w:rPr/>
        <w:t xml:space="preserve"> The Hebrew text is more literally, “Yahweh will not leave him in his hand,” but “him” has been replaced by “the righteous” from the context for clarity in English. Other English versions have seen the advantage of doing that as well (cf. CEB and NET; and other versions have cleared up the ambiguity in other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FootnoteReference"/>
        </w:rPr>
        <w:footnoteReference w:id="20329"/>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FootnoteReference"/>
        </w:rPr>
        <w:footnoteReference w:id="22599"/>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FootnoteReference"/>
        </w:rPr>
        <w:footnoteReference w:id="24915"/>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FootnoteReference"/>
        </w:rPr>
        <w:footnoteReference w:id="27053"/>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FootnoteReference"/>
        </w:rPr>
        <w:footnoteReference w:id="10650"/>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FootnoteReference"/>
        </w:rPr>
        <w:footnoteReference w:id="18285"/>
      </w:r>
      <w:r>
        <w:rPr/>
        <w:t xml:space="preserve"> and Peter Craigie’s translation is, “The eternal and everlasting God has enthroned you.”</w:t>
      </w:r>
      <w:r>
        <w:rPr>
          <w:rStyle w:val="FootnoteReference"/>
        </w:rPr>
        <w:footnoteReference w:id="30588"/>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BSB,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FootnoteReference"/>
        </w:rPr>
        <w:footnoteReference w:id="23373"/>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FootnoteReference"/>
        </w:rPr>
        <w:footnoteReference w:id="27748"/>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Word Study: “Psuchē.” For information about the translations “hell” and “Hades,” see Word Study: “Hades.” For information on people being annihilated in the Lake of Fire and not burning forever, see Appendix 4: “Annihilation in the Lake of Fire.” For more on what happens to “spirit” when a person dies, see Word Study: “Pneuma.”]</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all—not even in a bad place—they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Psa 51:17</w:t>
      </w:r>
    </w:p>
    <w:p>
      <w:pPr>
        <w:pStyle w:val="rNormal"/>
        <w:widowControl w:val="on"/>
        <w:spacing w:before="240" w:after="240" w:line="240" w:lineRule="auto"/>
        <w:ind w:left="0" w:right="0" w:firstLine="1"/>
        <w:jc w:val="left"/>
      </w:pPr>
      <w:r>
        <w:rPr>
          <w:b/>
          <w:bCs/>
        </w:rPr>
        <w:t xml:space="preserve">“My sacrifice, O God, is a broken spirit.”</w:t>
      </w:r>
      <w:r>
        <w:rPr/>
        <w:t xml:space="preserve"> When a person sins, that sin or those sins are forgiven when the person repents and begins to live righteously. God says that many times in the Bible (cf. Jer. 18:7-10; 36:3; Ezek. 3:17-21; 18:21-24; 33:12-16).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FootnoteReference"/>
        </w:rPr>
        <w:footnoteReference w:id="25345"/>
      </w:r>
      <w:r>
        <w:rPr>
          <w:rStyle w:val="FootnoteReference"/>
        </w:rPr>
        <w:footnoteReference w:id="19516"/>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firstLine="1"/>
        <w:jc w:val="left"/>
      </w:pPr>
      <w:r>
        <w:rPr>
          <w:b/>
          <w:bCs/>
        </w:rPr>
        <w:t xml:space="preserve">“May people be blessed through him.”</w:t>
      </w:r>
      <w:r>
        <w:rPr/>
        <w:t xml:space="preserve"> The Hebrew can also be reflexive, as some English versions have: “May people bless themselves through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FootnoteReference"/>
        </w:rPr>
        <w:footnoteReference w:id="18669"/>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FootnoteReference"/>
        </w:rPr>
        <w:footnoteReference w:id="27496"/>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and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Word Study: “Hades.” For more on dead people being dead, lifeless in every way, see Appendix 3: “The Dead are Dead.” For more on what the “soul” is, and that it does not live on after a person dies, see Word Study: “Psuchē.”]</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93:3</w:t>
      </w:r>
    </w:p>
    <w:p>
      <w:pPr>
        <w:pStyle w:val="rNormal"/>
        <w:widowControl w:val="on"/>
        <w:spacing w:before="240" w:after="240" w:line="240" w:lineRule="auto"/>
        <w:ind w:left="0" w:right="0"/>
        <w:jc w:val="left"/>
      </w:pPr>
      <w:r>
        <w:rPr/>
        <w:t xml:space="preserve">“</w:t>
      </w:r>
      <w:r>
        <w:rPr>
          <w:b/>
          <w:bCs/>
        </w:rPr>
        <w:t xml:space="preserve">the </w:t>
      </w:r>
      <w:r>
        <w:rPr>
          <w:b/>
          <w:bCs/>
          <w:i/>
          <w:iCs/>
        </w:rPr>
        <w:t xml:space="preserve">great</w:t>
      </w:r>
      <w:r>
        <w:rPr>
          <w:b/>
          <w:bCs/>
        </w:rPr>
        <w:t xml:space="preserve"> deep.</w:t>
      </w:r>
      <w:r>
        <w:rPr/>
        <w:t xml:space="preserve">” The “deep,” (the “depths”) are not literal, but represent the Gentile nations who disobey God; they defy or ignore Him (see commentary on Rev. 17:15).</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“sitting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refer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FootnoteReference"/>
        </w:rPr>
        <w:footnoteReference w:id="21834"/>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FootnoteReference"/>
        </w:rPr>
        <w:footnoteReference w:id="17027"/>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Psa 104:30</w:t>
      </w:r>
    </w:p>
    <w:p>
      <w:pPr>
        <w:pStyle w:val="rNormal"/>
        <w:widowControl w:val="on"/>
        <w:spacing w:before="240" w:after="240" w:line="240" w:lineRule="auto"/>
        <w:ind w:left="0" w:right="0" w:firstLine="1"/>
        <w:jc w:val="left"/>
      </w:pPr>
      <w:r>
        <w:rPr>
          <w:b/>
          <w:bCs/>
        </w:rPr>
        <w:t xml:space="preserve">“You send forth your spirit.”</w:t>
      </w:r>
      <w:r>
        <w:rPr/>
        <w:t xml:space="preserve"> In this context, “spirit” refers to God’s power in action, and some scholars recognize that and so different English versions translate Psalm 104:30 differently. For example, some Bibles have “breath” (cf. CJB, CSB, NLT), and some, like the REV, translate “spirit” with a lowercase “s” (cf. JPS, KJV, NRSV). God exercised His power and things were created and/or renewed.</w:t>
      </w:r>
    </w:p>
    <w:p>
      <w:pPr>
        <w:pStyle w:val="rNormal"/>
        <w:widowControl w:val="on"/>
        <w:spacing w:before="240" w:after="240" w:line="240" w:lineRule="auto"/>
        <w:ind w:left="0" w:right="0"/>
        <w:jc w:val="left"/>
      </w:pPr>
      <w:r>
        <w:rPr/>
        <w:t xml:space="preserve">In using the phrase, “send forth your spirit,” God is employing the figure of speech personification, in which something is given human characteristics for emphasis. In this context, the personification emphasizes the power of God’s “spirit” to accomplish God’s desire—the spirit is sent forth and the work God wanted done gets done. Personification is a very common figure of speech in the Bible and occurs in many verses. For example, the Psalmist writes “Send out your light and your truth. Let them lead me” (Ps. 43:3). Here, light and truth are given human characteristics just as “spirit” was in Psalm 104:30, and they were sent out as if they were servants going forth to do the Master’s work. They are sent out by God and can lead the psalmist. Psalm 85:10 is another good example of personification. It says, “Covenant faithfulness and truth have met together. Righteousness and peace have kissed each other.” In that Psalm, “covenant faithfulness” and “truth” meet together as if they were people, and righteousness and peace kiss each other—the kiss of friendship—as if they were friends. Another personification occurs in Psalm 23:6, which says, “Surely goodness and covenant faithfulness will pursue me all the days of my life.” In this psalm, “goodness” and “covenant faithfulness” are spoken of in human terms, and they are pursuing the psalmist (for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Word Study: “Hades.”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11868"/>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i.e.,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FootnoteReference"/>
        </w:rPr>
        <w:footnoteReference w:id="24287"/>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FootnoteReference"/>
        </w:rPr>
        <w:footnoteReference w:id="11086"/>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FootnoteReference"/>
        </w:rPr>
        <w:footnoteReference w:id="20495"/>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Word Study: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FootnoteReference"/>
        </w:rPr>
        <w:footnoteReference w:id="13254"/>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FootnoteReference"/>
        </w:rPr>
        <w:footnoteReference w:id="24336"/>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“soul” is, and that it does not live on after a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FootnoteReference"/>
        </w:rPr>
        <w:footnoteReference w:id="25437"/>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FootnoteReference"/>
        </w:rPr>
        <w:footnoteReference w:id="28598"/>
      </w:r>
      <w:r>
        <w:rPr/>
        <w:t xml:space="preserve"> Artur Weiser translates the verse: “It is too hard in the eyes of the Lord when his godly ones die and are no more.”</w:t>
      </w:r>
      <w:r>
        <w:rPr>
          <w:rStyle w:val="FootnoteReference"/>
        </w:rPr>
        <w:footnoteReference w:id="20249"/>
      </w:r>
      <w:r>
        <w:rPr/>
        <w:t xml:space="preserve"> Leslie Allen translates the verse: “Yahweh counts too costly the death of his lieges.”</w:t>
      </w:r>
      <w:r>
        <w:rPr>
          <w:rStyle w:val="FootnoteReference"/>
        </w:rPr>
        <w:footnoteReference w:id="32472"/>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119:68</w:t>
      </w:r>
    </w:p>
    <w:p>
      <w:pPr>
        <w:pStyle w:val="rNormal"/>
        <w:widowControl w:val="on"/>
        <w:spacing w:before="240" w:after="240" w:line="240" w:lineRule="auto"/>
        <w:ind w:left="0" w:right="0" w:firstLine="1"/>
        <w:jc w:val="left"/>
      </w:pPr>
      <w:r>
        <w:rPr>
          <w:b/>
          <w:bCs/>
        </w:rPr>
        <w:t xml:space="preserve">“You are good, and you do good.”</w:t>
      </w:r>
      <w:r>
        <w:rPr/>
        <w:t xml:space="preserve"> God is good. This is stated in a number of places in the Bible (e.g., Ps. 100:5; 119:68; 135:3; cp. Prov. 10:22. See commentary on James 1:17)</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FootnoteReference"/>
        </w:rPr>
        <w:footnoteReference w:id="15332"/>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the sea or as water; it was the people who “rose up against us” (Ps. 124:2).</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135:3</w:t>
      </w:r>
    </w:p>
    <w:p>
      <w:pPr>
        <w:pStyle w:val="rNormal"/>
        <w:widowControl w:val="on"/>
        <w:spacing w:before="240" w:after="240" w:line="240" w:lineRule="auto"/>
        <w:ind w:left="0" w:right="0" w:firstLine="1"/>
        <w:jc w:val="left"/>
      </w:pPr>
      <w:r>
        <w:rPr>
          <w:b/>
          <w:bCs/>
        </w:rPr>
        <w:t xml:space="preserve">“for Yahweh is good.”</w:t>
      </w:r>
      <w:r>
        <w:rPr/>
        <w:t xml:space="preserve"> God is good. This is stated in a number of places in the Bible (e.g., Ps. 100:5; 119:68; 135:3; cp. Prov. 10:22. See commentary on James 1:17)</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139:15</w:t>
      </w:r>
    </w:p>
    <w:p>
      <w:pPr>
        <w:pStyle w:val="rNormal"/>
        <w:widowControl w:val="on"/>
        <w:spacing w:before="240" w:after="240" w:line="240" w:lineRule="auto"/>
        <w:ind w:left="0" w:right="0" w:firstLine="1"/>
        <w:jc w:val="left"/>
      </w:pPr>
      <w:r>
        <w:rPr>
          <w:b/>
          <w:bCs/>
        </w:rPr>
        <w:t xml:space="preserve">“in the lowest parts of the earth.”</w:t>
      </w:r>
      <w:r>
        <w:rPr/>
        <w:t xml:space="preserve"> The scholars agree that this is a difficult phrase to understand. It is most likely a hyperbole, relating back to Psalm 139:7-10, where God is said to be everywhere, even in Sheol, and thus even before the baby was fully formed and might as well have been in the lowest parts of the earth (a phrase that sometimes refers to Sheol), the person was “not hidden from you [God].”</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VersHead"/>
        <w:widowControl w:val="on"/>
      </w:pPr>
      <w:r>
        <w:rPr/>
        <w:t xml:space="preserve">Psa 148:10</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525468680f3ecf86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96144"/>
      <w:docPartObj>
        <w:docPartGallery w:val="Page Numbers (Bottom of Page)"/>
        <w:docPartUnique/>
      </w:docPartObj>
    </w:sdtPr>
    <w:sdtContent>
      <w:sdt>
        <w:sdtPr>
          <w:id w:val="30556871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19">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716-717.</w:t>
              </w:r>
            </w:t>
          </w:r>
        </w:t>
      </w:r>
    </w:p>
  </w:footnote>
  <w:footnote w:id="23196">
    <w:p>
      <w:pPr>
        <w:pStyle w:val="FootnoteText"/>
      </w:pPr>
      <w:r>
        <w:rPr>
          <w:rStyle w:val="FootnoteReference"/>
        </w:rPr>
        <w:footnoteRef/>
      </w:r>
      <w:r>
        <w:t xml:space="preserve">
          <w:r>
            <w:t xml:space="preserve">
              <w:r>
                <w:t xml:space="preserve"> James Mays, </w:t>
              </w:r>
              <w:r>
                <w:rPr>
                  <w:i/>
                </w:rPr>
                <w:t xml:space="preserve">Psalms</w:t>
              </w:r>
              <w:r>
                <w:t xml:space="preserve">, Interpretation, 44.</w:t>
              </w:r>
            </w:t>
          </w:r>
        </w:t>
      </w:r>
    </w:p>
  </w:footnote>
  <w:footnote w:id="15668">
    <w:p>
      <w:pPr>
        <w:pStyle w:val="FootnoteText"/>
      </w:pPr>
      <w:r>
        <w:rPr>
          <w:rStyle w:val="FootnoteReference"/>
        </w:rPr>
        <w:footnoteRef/>
      </w:r>
      <w:r>
        <w:t xml:space="preserve">
          <w:r>
            <w:t xml:space="preserve">
              <w:r>
                <w:t xml:space="preserve"> Cf. Allen P. Ross, </w:t>
              </w:r>
              <w:r>
                <w:rPr>
                  <w:i/>
                </w:rPr>
                <w:t xml:space="preserve">A commentary on the Psalms</w:t>
              </w:r>
              <w:r>
                <w:t xml:space="preserve">, 1:212, Kregel Exegetical Library.</w:t>
              </w:r>
            </w:t>
          </w:r>
        </w:t>
      </w:r>
    </w:p>
  </w:footnote>
  <w:footnote w:id="31376">
    <w:p>
      <w:pPr>
        <w:pStyle w:val="FootnoteText"/>
      </w:pPr>
      <w:r>
        <w:rPr>
          <w:rStyle w:val="FootnoteReference"/>
        </w:rPr>
        <w:footnoteRef/>
      </w:r>
      <w:r>
        <w:t xml:space="preserve">
          <w:r>
            <w:t xml:space="preserve">
              <w:r>
                <w:t xml:space="preserve"> Spence-Jones, H. D. M., and Joseph S. Exell, </w:t>
              </w:r>
              <w:r>
                <w:rPr>
                  <w:i/>
                </w:rPr>
                <w:t xml:space="preserve">The Book of Psalms</w:t>
              </w:r>
              <w:r>
                <w:t xml:space="preserve">, The Pulpit Commentary, 1:27.</w:t>
              </w:r>
            </w:t>
          </w:r>
        </w:t>
      </w:r>
    </w:p>
  </w:footnote>
  <w:footnote w:id="10128">
    <w:p>
      <w:pPr>
        <w:pStyle w:val="FootnoteText"/>
      </w:pPr>
      <w:r>
        <w:rPr>
          <w:rStyle w:val="FootnoteReference"/>
        </w:rPr>
        <w:footnoteRef/>
      </w:r>
      <w:r>
        <w:t xml:space="preserve">
          <w:r>
            <w:t xml:space="preserve">
              <w:r>
                <w:t xml:space="preserve"> Cf. Peter C. Craigie, </w:t>
              </w:r>
              <w:r>
                <w:rPr>
                  <w:i/>
                </w:rPr>
                <w:t xml:space="preserve">Psalms 1-50</w:t>
              </w:r>
              <w:r>
                <w:t xml:space="preserve"> [WBC].</w:t>
              </w:r>
            </w:t>
          </w:r>
        </w:t>
      </w:r>
    </w:p>
  </w:footnote>
  <w:footnote w:id="13473">
    <w:p>
      <w:pPr>
        <w:pStyle w:val="FootnoteText"/>
      </w:pPr>
      <w:r>
        <w:rPr>
          <w:rStyle w:val="FootnoteReference"/>
        </w:rPr>
        <w:footnoteRef/>
      </w:r>
      <w:r>
        <w:t xml:space="preserve">
          <w:r>
            <w:t xml:space="preserve">
              <w:r>
                <w:t xml:space="preserve"> Allen P. Ross, </w:t>
              </w:r>
              <w:r>
                <w:rPr>
                  <w:i/>
                </w:rPr>
                <w:t xml:space="preserve">A Commentary on the Psalms</w:t>
              </w:r>
              <w:r>
                <w:t xml:space="preserve">, Kregel Exegetical Library, 1:399n15.</w:t>
              </w:r>
            </w:t>
          </w:r>
        </w:t>
      </w:r>
    </w:p>
  </w:footnote>
  <w:footnote w:id="16677">
    <w:p>
      <w:pPr>
        <w:pStyle w:val="FootnoteText"/>
      </w:pPr>
      <w:r>
        <w:rPr>
          <w:rStyle w:val="FootnoteReference"/>
        </w:rPr>
        <w:footnoteRef/>
      </w:r>
      <w:r>
        <w:t xml:space="preserve">
          <w:r>
            <w:t xml:space="preserve">
              <w:r>
                <w:t xml:space="preserve"> Cf. Ross, </w:t>
              </w:r>
              <w:r>
                <w:rPr>
                  <w:i/>
                </w:rPr>
                <w:t xml:space="preserve">A commentary on the Psalms</w:t>
              </w:r>
              <w:r>
                <w:t xml:space="preserve">, vol. 1, Kregel Exegetical Library.</w:t>
              </w:r>
            </w:t>
          </w:r>
        </w:t>
      </w:r>
    </w:p>
  </w:footnote>
  <w:footnote w:id="21786">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1, Kregel Exegetical Library.</w:t>
              </w:r>
            </w:t>
          </w:r>
        </w:t>
      </w:r>
    </w:p>
  </w:footnote>
  <w:footnote w:id="11204">
    <w:p>
      <w:pPr>
        <w:pStyle w:val="FootnoteText"/>
      </w:pPr>
      <w:r>
        <w:rPr>
          <w:rStyle w:val="FootnoteReference"/>
        </w:rPr>
        <w:footnoteRef/>
      </w:r>
      <w:r>
        <w:t xml:space="preserve">
          <w:r>
            <w:t xml:space="preserve">
              <w:r>
                <w:t xml:space="preserve"> Derek Kidner, </w:t>
              </w:r>
              <w:r>
                <w:rPr>
                  <w:i/>
                </w:rPr>
                <w:t xml:space="preserve">Psalms 1-72</w:t>
              </w:r>
              <w:r>
                <w:t xml:space="preserve"> [TOTC], 125.</w:t>
              </w:r>
            </w:t>
          </w:r>
        </w:t>
      </w:r>
    </w:p>
  </w:footnote>
  <w:footnote w:id="22504">
    <w:p>
      <w:pPr>
        <w:pStyle w:val="FootnoteText"/>
      </w:pPr>
      <w:r>
        <w:rPr>
          <w:rStyle w:val="FootnoteReference"/>
        </w:rPr>
        <w:footnoteRef/>
      </w:r>
      <w:r>
        <w:t xml:space="preserve">
          <w:r>
            <w:t xml:space="preserve">
              <w:r>
                <w:t xml:space="preserve"> Keil &amp; Delitzsch, </w:t>
              </w:r>
              <w:r>
                <w:rPr>
                  <w:i/>
                </w:rPr>
                <w:t xml:space="preserve">Commentary on the Old Testament: Psalms</w:t>
              </w:r>
              <w:r>
                <w:t xml:space="preserve">, 319.</w:t>
              </w:r>
            </w:t>
          </w:r>
        </w:t>
      </w:r>
    </w:p>
  </w:footnote>
  <w:footnote w:id="2623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32224">
    <w:p>
      <w:pPr>
        <w:pStyle w:val="FootnoteText"/>
      </w:pPr>
      <w:r>
        <w:rPr>
          <w:rStyle w:val="FootnoteReference"/>
        </w:rPr>
        <w:footnoteRef/>
      </w:r>
      <w:r>
        <w:t xml:space="preserve">
          <w:r>
            <w:t xml:space="preserve">
              <w:r>
                <w:t xml:space="preserve"> Hollady, </w:t>
              </w:r>
              <w:r>
                <w:rPr>
                  <w:i/>
                </w:rPr>
                <w:t xml:space="preserve">Hebrew and Aramaic Lexicon of the Old Testament</w:t>
              </w:r>
              <w:r>
                <w:t xml:space="preserve">.</w:t>
              </w:r>
            </w:t>
          </w:r>
        </w:t>
      </w:r>
    </w:p>
  </w:footnote>
  <w:footnote w:id="31449">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20329">
    <w:p>
      <w:pPr>
        <w:pStyle w:val="FootnoteText"/>
      </w:pPr>
      <w:r>
        <w:rPr>
          <w:rStyle w:val="FootnoteReference"/>
        </w:rPr>
        <w:footnoteRef/>
      </w:r>
      <w:r>
        <w:t xml:space="preserve">
          <w:r>
            <w:t xml:space="preserve">
              <w:r>
                <w:t xml:space="preserve"> Frank Gaebelein, </w:t>
              </w:r>
              <w:r>
                <w:rPr>
                  <w:i/>
                </w:rPr>
                <w:t xml:space="preserve">Expositor’s Bible Commentary</w:t>
              </w:r>
              <w:r>
                <w:t xml:space="preserve">, vol. 5.</w:t>
              </w:r>
            </w:t>
          </w:r>
        </w:t>
      </w:r>
    </w:p>
  </w:footnote>
  <w:footnote w:id="22599">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2, Kregel Exegetical Library.</w:t>
              </w:r>
            </w:t>
          </w:r>
        </w:t>
      </w:r>
    </w:p>
  </w:footnote>
  <w:footnote w:id="24915">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part 2, 718.</w:t>
              </w:r>
            </w:t>
          </w:r>
        </w:t>
      </w:r>
    </w:p>
  </w:footnote>
  <w:footnote w:id="27053">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10650">
    <w:p>
      <w:pPr>
        <w:pStyle w:val="FootnoteText"/>
      </w:pPr>
      <w:r>
        <w:rPr>
          <w:rStyle w:val="FootnoteReference"/>
        </w:rPr>
        <w:footnoteRef/>
      </w:r>
      <w:r>
        <w:t xml:space="preserve">
          <w:r>
            <w:t xml:space="preserve">
              <w:r>
                <w:t xml:space="preserve"> Ross, </w:t>
              </w:r>
              <w:r>
                <w:rPr>
                  <w:i/>
                </w:rPr>
                <w:t xml:space="preserve">A Commentary on the Psalms</w:t>
              </w:r>
              <w:r>
                <w:t xml:space="preserve">, Kregel Exegetical Library.</w:t>
              </w:r>
            </w:t>
          </w:r>
        </w:t>
      </w:r>
    </w:p>
  </w:footnote>
  <w:footnote w:id="18285">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30588">
    <w:p>
      <w:pPr>
        <w:pStyle w:val="FootnoteText"/>
      </w:pPr>
      <w:r>
        <w:rPr>
          <w:rStyle w:val="FootnoteReference"/>
        </w:rPr>
        <w:footnoteRef/>
      </w:r>
      <w:r>
        <w:t xml:space="preserve">
          <w:r>
            <w:t xml:space="preserve">
              <w:r>
                <w:t xml:space="preserve"> Peter Craigie, </w:t>
              </w:r>
              <w:r>
                <w:rPr>
                  <w:i/>
                </w:rPr>
                <w:t xml:space="preserve">Psalms 1-50</w:t>
              </w:r>
              <w:r>
                <w:t xml:space="preserve"> [WBC].</w:t>
              </w:r>
            </w:t>
          </w:r>
        </w:t>
      </w:r>
    </w:p>
  </w:footnote>
  <w:footnote w:id="23373">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57-58.</w:t>
              </w:r>
            </w:t>
          </w:r>
        </w:t>
      </w:r>
    </w:p>
  </w:footnote>
  <w:footnote w:id="27748">
    <w:p>
      <w:pPr>
        <w:pStyle w:val="FootnoteText"/>
      </w:pPr>
      <w:r>
        <w:rPr>
          <w:rStyle w:val="FootnoteReference"/>
        </w:rPr>
        <w:footnoteRef/>
      </w:r>
      <w:r>
        <w:t xml:space="preserve">
          <w:r>
            <w:t xml:space="preserve">
              <w:r>
                <w:t xml:space="preserve"> Cf. Keil and Delitzsch, </w:t>
              </w:r>
              <w:r>
                <w:rPr>
                  <w:i/>
                </w:rPr>
                <w:t xml:space="preserve">Commentary on the Old Testament: Psalms</w:t>
              </w:r>
              <w:r>
                <w:t xml:space="preserve">, 110-11.</w:t>
              </w:r>
            </w:t>
          </w:r>
        </w:t>
      </w:r>
    </w:p>
  </w:footnote>
  <w:footnote w:id="25345">
    <w:p>
      <w:pPr>
        <w:pStyle w:val="FootnoteText"/>
      </w:pPr>
      <w:r>
        <w:rPr>
          <w:rStyle w:val="FootnoteReference"/>
        </w:rPr>
        <w:footnoteRef/>
      </w:r>
      <w:r>
        <w:t xml:space="preserve">
          <w:r>
            <w:t xml:space="preserve">
              <w:r>
                <w:t xml:space="preserve"> Bishop K. C. Pillai, </w:t>
              </w:r>
              <w:r>
                <w:rPr>
                  <w:i/>
                </w:rPr>
                <w:t xml:space="preserve">Old and New Testament Orientalisms</w:t>
              </w:r>
              <w:r>
                <w:t xml:space="preserve">, 135.</w:t>
              </w:r>
            </w:t>
          </w:r>
        </w:t>
      </w:r>
    </w:p>
  </w:footnote>
  <w:footnote w:id="19516">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224.</w:t>
              </w:r>
            </w:t>
          </w:r>
        </w:t>
      </w:r>
    </w:p>
  </w:footnote>
  <w:footnote w:id="18669">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7496">
    <w:p>
      <w:pPr>
        <w:pStyle w:val="FootnoteText"/>
      </w:pPr>
      <w:r>
        <w:rPr>
          <w:rStyle w:val="FootnoteReference"/>
        </w:rPr>
        <w:footnoteRef/>
      </w:r>
      <w:r>
        <w:t xml:space="preserve">
          <w:r>
            <w:t xml:space="preserve">
              <w:r>
                <w:t xml:space="preserve"> Klaus Baltzer, ed., </w:t>
              </w:r>
              <w:r>
                <w:rPr>
                  <w:i/>
                </w:rPr>
                <w:t xml:space="preserve">Psalms 2</w:t>
              </w:r>
              <w:r>
                <w:t xml:space="preserve">: </w:t>
              </w:r>
              <w:r>
                <w:rPr>
                  <w:i/>
                </w:rPr>
                <w:t xml:space="preserve">A Commentary on Psalms 51-100</w:t>
              </w:r>
              <w:r>
                <w:t xml:space="preserve"> [Hermeneia], 2:236.</w:t>
              </w:r>
            </w:t>
          </w:r>
        </w:t>
      </w:r>
    </w:p>
  </w:footnote>
  <w:footnote w:id="21834">
    <w:p>
      <w:pPr>
        <w:pStyle w:val="FootnoteText"/>
      </w:pPr>
      <w:r>
        <w:rPr>
          <w:rStyle w:val="FootnoteReference"/>
        </w:rPr>
        <w:footnoteRef/>
      </w:r>
      <w:r>
        <w:t xml:space="preserve">
          <w:r>
            <w:t xml:space="preserve">
              <w:r>
                <w:t xml:space="preserve"> Leslie C. Allen, </w:t>
              </w:r>
              <w:r>
                <w:rPr>
                  <w:i/>
                </w:rPr>
                <w:t xml:space="preserve">Psalms 101-150</w:t>
              </w:r>
              <w:r>
                <w:t xml:space="preserve"> [WBC], 17.</w:t>
              </w:r>
            </w:t>
          </w:r>
        </w:t>
      </w:r>
    </w:p>
  </w:footnote>
  <w:footnote w:id="17027">
    <w:p>
      <w:pPr>
        <w:pStyle w:val="FootnoteText"/>
      </w:pPr>
      <w:r>
        <w:rPr>
          <w:rStyle w:val="FootnoteReference"/>
        </w:rPr>
        <w:footnoteRef/>
      </w:r>
      <w:r>
        <w:t xml:space="preserve">
          <w:r>
            <w:t xml:space="preserve">
              <w:r>
                <w:t xml:space="preserve"> Charles A. Briggs, </w:t>
              </w:r>
              <w:r>
                <w:rPr>
                  <w:i/>
                </w:rPr>
                <w:t xml:space="preserve">Psalms 51-150</w:t>
              </w:r>
              <w:r>
                <w:t xml:space="preserve"> [ICC].</w:t>
              </w:r>
            </w:t>
          </w:r>
        </w:t>
      </w:r>
    </w:p>
  </w:footnote>
  <w:footnote w:id="11868">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(italics in the original).</w:t>
              </w:r>
            </w:t>
          </w:r>
        </w:t>
      </w:r>
    </w:p>
  </w:footnote>
  <w:footnote w:id="24287">
    <w:p>
      <w:pPr>
        <w:pStyle w:val="FootnoteText"/>
      </w:pPr>
      <w:r>
        <w:rPr>
          <w:rStyle w:val="FootnoteReference"/>
        </w:rPr>
        <w:footnoteRef/>
      </w:r>
      <w:r>
        <w:t xml:space="preserve">
          <w:r>
            <w:t xml:space="preserve">
              <w:r>
                <w:t xml:space="preserve"> Anthony Buzzard and Charles Hunting, </w:t>
              </w:r>
              <w:r>
                <w:rPr>
                  <w:i/>
                </w:rPr>
                <w:t xml:space="preserve">The Trinity, Christianity’s Self-inflicted Wound</w:t>
              </w:r>
              <w:r>
                <w:t xml:space="preserve">, 28.</w:t>
              </w:r>
            </w:t>
          </w:r>
        </w:t>
      </w:r>
    </w:p>
  </w:footnote>
  <w:footnote w:id="11086">
    <w:p>
      <w:pPr>
        <w:pStyle w:val="FootnoteText"/>
      </w:pPr>
      <w:r>
        <w:rPr>
          <w:rStyle w:val="FootnoteReference"/>
        </w:rPr>
        <w:footnoteRef/>
      </w:r>
      <w:r>
        <w:t xml:space="preserve">
          <w:r>
            <w:t xml:space="preserve">
              <w:r>
                <w:t xml:space="preserve"> Anthony Buzzard, “Who is Jesus? God or Unique Man?,” </w:t>
              </w:r>
              <w:r>
                <w:rPr>
                  <w:i/>
                </w:rPr>
                <w:t xml:space="preserve">Focus on the Kingdom</w:t>
              </w:r>
              <w:r>
                <w:t xml:space="preserve"> 1, no. 1 (October 1998): 4.</w:t>
              </w:r>
            </w:t>
          </w:r>
        </w:t>
      </w:r>
    </w:p>
  </w:footnote>
  <w:footnote w:id="20495">
    <w:p>
      <w:pPr>
        <w:pStyle w:val="FootnoteText"/>
      </w:pPr>
      <w:r>
        <w:rPr>
          <w:rStyle w:val="FootnoteReference"/>
        </w:rPr>
        <w:footnoteRef/>
      </w:r>
      <w:r>
        <w:t xml:space="preserve">
          <w:r>
            <w:t xml:space="preserve">
              <w:r>
                <w:t xml:space="preserve"> Ezra Abbot, “Son of God,” in </w:t>
              </w:r>
              <w:r>
                <w:rPr>
                  <w:i/>
                </w:rPr>
                <w:t xml:space="preserve">Dr William Smith’s Dictionary of the Bible</w:t>
              </w:r>
              <w:r>
                <w:t xml:space="preserve">, edited by H. B. Hackett, 4:3090.</w:t>
              </w:r>
            </w:t>
          </w:r>
        </w:t>
      </w:r>
    </w:p>
  </w:footnote>
  <w:footnote w:id="13254">
    <w:p>
      <w:pPr>
        <w:pStyle w:val="FootnoteText"/>
      </w:pPr>
      <w:r>
        <w:rPr>
          <w:rStyle w:val="FootnoteReference"/>
        </w:rPr>
        <w:footnoteRef/>
      </w:r>
      <w:r>
        <w:t xml:space="preserve">
          <w:r>
            <w:t xml:space="preserve">
              <w:r>
                <w:t xml:space="preserve"> Cf. Willem VanGemeren, </w:t>
              </w:r>
              <w:r>
                <w:rPr>
                  <w:i/>
                </w:rPr>
                <w:t xml:space="preserve">New International Dictionary of Old Testament Theology and Exegesis</w:t>
              </w:r>
              <w:r>
                <w:t xml:space="preserve">.</w:t>
              </w:r>
            </w:t>
          </w:r>
        </w:t>
      </w:r>
    </w:p>
  </w:footnote>
  <w:footnote w:id="24336">
    <w:p>
      <w:pPr>
        <w:pStyle w:val="FootnoteText"/>
      </w:pPr>
      <w:r>
        <w:rPr>
          <w:rStyle w:val="FootnoteReference"/>
        </w:rPr>
        <w:footnoteRef/>
      </w:r>
      <w:r>
        <w:t xml:space="preserve">
          <w:r>
            <w:t xml:space="preserve">
              <w:r>
                <w:t xml:space="preserve"> F. L. Hossfeld and E. Zenger, </w:t>
              </w:r>
              <w:r>
                <w:rPr>
                  <w:i/>
                </w:rPr>
                <w:t xml:space="preserve">Psalms</w:t>
              </w:r>
              <w:r>
                <w:t xml:space="preserve">, Hermeneia.</w:t>
              </w:r>
            </w:t>
          </w:r>
        </w:t>
      </w:r>
    </w:p>
  </w:footnote>
  <w:footnote w:id="25437">
    <w:p>
      <w:pPr>
        <w:pStyle w:val="FootnoteText"/>
      </w:pPr>
      <w:r>
        <w:rPr>
          <w:rStyle w:val="FootnoteReference"/>
        </w:rPr>
        <w:footnoteRef/>
      </w:r>
      <w:r>
        <w:t xml:space="preserve">
          <w:r>
            <w:t xml:space="preserve">
              <w:r>
                <w:t xml:space="preserve"> Robert Alter, </w:t>
              </w:r>
              <w:r>
                <w:rPr>
                  <w:i/>
                </w:rPr>
                <w:t xml:space="preserve">The Hebrew Bible: The Writings</w:t>
              </w:r>
              <w:r>
                <w:t xml:space="preserve">, 273.</w:t>
              </w:r>
            </w:t>
          </w:r>
        </w:t>
      </w:r>
    </w:p>
  </w:footnote>
  <w:footnote w:id="28598">
    <w:p>
      <w:pPr>
        <w:pStyle w:val="FootnoteText"/>
      </w:pPr>
      <w:r>
        <w:rPr>
          <w:rStyle w:val="FootnoteReference"/>
        </w:rPr>
        <w:footnoteRef/>
      </w:r>
      <w:r>
        <w:t xml:space="preserve">
          <w:r>
            <w:t xml:space="preserve">
              <w:r>
                <w:t xml:space="preserve"> Jonathan Sacks, </w:t>
              </w:r>
              <w:r>
                <w:rPr>
                  <w:i/>
                </w:rPr>
                <w:t xml:space="preserve">The Koren Tanakh</w:t>
              </w:r>
              <w:r>
                <w:t xml:space="preserve">, Magerman Edition.</w:t>
              </w:r>
            </w:t>
          </w:r>
        </w:t>
      </w:r>
    </w:p>
  </w:footnote>
  <w:footnote w:id="20249">
    <w:p>
      <w:pPr>
        <w:pStyle w:val="FootnoteText"/>
      </w:pPr>
      <w:r>
        <w:rPr>
          <w:rStyle w:val="FootnoteReference"/>
        </w:rPr>
        <w:footnoteRef/>
      </w:r>
      <w:r>
        <w:t xml:space="preserve">
          <w:r>
            <w:t xml:space="preserve">
              <w:r>
                <w:t xml:space="preserve"> Artur Weiser, </w:t>
              </w:r>
              <w:r>
                <w:rPr>
                  <w:i/>
                </w:rPr>
                <w:t xml:space="preserve">The Psalms</w:t>
              </w:r>
              <w:r>
                <w:t xml:space="preserve"> [OTL], 718.</w:t>
              </w:r>
            </w:t>
          </w:r>
        </w:t>
      </w:r>
    </w:p>
  </w:footnote>
  <w:footnote w:id="32472">
    <w:p>
      <w:pPr>
        <w:pStyle w:val="FootnoteText"/>
      </w:pPr>
      <w:r>
        <w:rPr>
          <w:rStyle w:val="FootnoteReference"/>
        </w:rPr>
        <w:footnoteRef/>
      </w:r>
      <w:r>
        <w:t xml:space="preserve">
          <w:r>
            <w:t xml:space="preserve">
              <w:r>
                <w:t xml:space="preserve"> Leslie C. Allen, </w:t>
              </w:r>
              <w:r>
                <w:rPr>
                  <w:i/>
                </w:rPr>
                <w:t xml:space="preserve">Psalms 101-150</w:t>
              </w:r>
              <w:r>
                <w:t xml:space="preserve"> [WBC], 151.</w:t>
              </w:r>
            </w:t>
          </w:r>
        </w:t>
      </w:r>
    </w:p>
  </w:footnote>
  <w:footnote w:id="15332">
    <w:p>
      <w:pPr>
        <w:pStyle w:val="FootnoteText"/>
      </w:pPr>
      <w:r>
        <w:rPr>
          <w:rStyle w:val="FootnoteReference"/>
        </w:rPr>
        <w:footnoteRef/>
      </w:r>
      <w:r>
        <w:t xml:space="preserve">
          <w:r>
            <w:t xml:space="preserve">
              <w:r>
                <w:t xml:space="preserve"> </w:t>
              </w:r>
              <w:r>
                <w:rPr>
                  <w:i/>
                </w:rPr>
                <w:t xml:space="preserve">HALOT Hebrew and Aramaic Lexicon</w:t>
              </w:r>
              <w:r>
                <w:t xml:space="preserve">, s.v. “רֹאשׁ.”</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545158">
    <w:multiLevelType w:val="hybridMultilevel"/>
    <w:lvl w:ilvl="0" w:tplc="84866019">
      <w:start w:val="1"/>
      <w:numFmt w:val="decimal"/>
      <w:lvlText w:val="%1."/>
      <w:lvlJc w:val="left"/>
      <w:pPr>
        <w:ind w:left="720" w:hanging="360"/>
      </w:pPr>
    </w:lvl>
    <w:lvl w:ilvl="1" w:tplc="84866019" w:tentative="1">
      <w:start w:val="1"/>
      <w:numFmt w:val="lowerLetter"/>
      <w:lvlText w:val="%2."/>
      <w:lvlJc w:val="left"/>
      <w:pPr>
        <w:ind w:left="1440" w:hanging="360"/>
      </w:pPr>
    </w:lvl>
    <w:lvl w:ilvl="2" w:tplc="84866019" w:tentative="1">
      <w:start w:val="1"/>
      <w:numFmt w:val="lowerRoman"/>
      <w:lvlText w:val="%3."/>
      <w:lvlJc w:val="right"/>
      <w:pPr>
        <w:ind w:left="2160" w:hanging="180"/>
      </w:pPr>
    </w:lvl>
    <w:lvl w:ilvl="3" w:tplc="84866019" w:tentative="1">
      <w:start w:val="1"/>
      <w:numFmt w:val="decimal"/>
      <w:lvlText w:val="%4."/>
      <w:lvlJc w:val="left"/>
      <w:pPr>
        <w:ind w:left="2880" w:hanging="360"/>
      </w:pPr>
    </w:lvl>
    <w:lvl w:ilvl="4" w:tplc="84866019" w:tentative="1">
      <w:start w:val="1"/>
      <w:numFmt w:val="lowerLetter"/>
      <w:lvlText w:val="%5."/>
      <w:lvlJc w:val="left"/>
      <w:pPr>
        <w:ind w:left="3600" w:hanging="360"/>
      </w:pPr>
    </w:lvl>
    <w:lvl w:ilvl="5" w:tplc="84866019" w:tentative="1">
      <w:start w:val="1"/>
      <w:numFmt w:val="lowerRoman"/>
      <w:lvlText w:val="%6."/>
      <w:lvlJc w:val="right"/>
      <w:pPr>
        <w:ind w:left="4320" w:hanging="180"/>
      </w:pPr>
    </w:lvl>
    <w:lvl w:ilvl="6" w:tplc="84866019" w:tentative="1">
      <w:start w:val="1"/>
      <w:numFmt w:val="decimal"/>
      <w:lvlText w:val="%7."/>
      <w:lvlJc w:val="left"/>
      <w:pPr>
        <w:ind w:left="5040" w:hanging="360"/>
      </w:pPr>
    </w:lvl>
    <w:lvl w:ilvl="7" w:tplc="84866019" w:tentative="1">
      <w:start w:val="1"/>
      <w:numFmt w:val="lowerLetter"/>
      <w:lvlText w:val="%8."/>
      <w:lvlJc w:val="left"/>
      <w:pPr>
        <w:ind w:left="5760" w:hanging="360"/>
      </w:pPr>
    </w:lvl>
    <w:lvl w:ilvl="8" w:tplc="84866019" w:tentative="1">
      <w:start w:val="1"/>
      <w:numFmt w:val="lowerRoman"/>
      <w:lvlText w:val="%9."/>
      <w:lvlJc w:val="right"/>
      <w:pPr>
        <w:ind w:left="6480" w:hanging="180"/>
      </w:pPr>
    </w:lvl>
  </w:abstractNum>
  <w:abstractNum w:abstractNumId="12597">
    <w:multiLevelType w:val="hybridMultilevel"/>
    <w:lvl w:ilvl="0" w:tplc="556658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597">
    <w:abstractNumId w:val="12597"/>
  </w:num>
  <w:num w:numId="90545158">
    <w:abstractNumId w:val="905451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3781437" Type="http://schemas.openxmlformats.org/officeDocument/2006/relationships/numbering" Target="numbering.xml"/><Relationship Id="rId849101304" Type="http://schemas.openxmlformats.org/officeDocument/2006/relationships/comments" Target="comments.xml"/><Relationship Id="rId525468680f3ecf862" Type="http://schemas.openxmlformats.org/officeDocument/2006/relationships/footer" Target="defaultFooter.xml"/><Relationship Id="rId487268680f3f05ffb"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