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1:3</w:t>
      </w:r>
    </w:p>
    <w:p>
      <w:pPr>
        <w:pStyle w:val="rNormal"/>
        <w:widowControl w:val="on"/>
        <w:spacing w:before="240" w:after="240" w:line="240" w:lineRule="auto"/>
        <w:ind w:left="0" w:right="0" w:firstLine="1"/>
        <w:jc w:val="left"/>
      </w:pPr>
      <w:r>
        <w:rPr>
          <w:b/>
          <w:bCs/>
        </w:rPr>
        <w:t xml:space="preserve">“were carried away captive in the fifth month.”</w:t>
      </w:r>
      <w:r>
        <w:rPr/>
        <w:t xml:space="preserve"> The Judeans were carried away to Babylon in a series of captivities (cf. Dan. 1:1-3; then 2 Chron. 36:6; then 2 Kings 24:12 (2 Chron. 36:10); then 2 Kings 25:8-12 (2 Chron. 36:18-20). The captivity of the fifth month is the one mentioned in 2 Kings 25:8-12 and 2 Chron. 36:18-20. Zedekiah the king was captured and tortured in that attack (2 Kings 25:7).</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FootnoteReference"/>
        </w:rPr>
        <w:footnoteReference w:id="28630"/>
      </w:r>
      <w:r>
        <w:rPr/>
        <w:t xml:space="preserve"> Judah was serving idols.</w:t>
      </w:r>
    </w:p>
    <w:p>
      <w:pPr>
        <w:pStyle w:val="rNormal"/>
        <w:widowControl w:val="on"/>
        <w:spacing w:before="240" w:after="240" w:line="240" w:lineRule="auto"/>
        <w:ind w:left="0" w:right="0" w:firstLine="1"/>
        <w:jc w:val="left"/>
      </w:pPr>
      <w:r>
        <w:rPr>
          <w:b/>
          <w:bCs/>
        </w:rPr>
        <w:t xml:space="preserve">“worthlessnesses.”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FootnoteReference"/>
        </w:rPr>
        <w:footnoteReference w:id="16761"/>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FootnoteReference"/>
        </w:rPr>
        <w:footnoteReference w:id="30017"/>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FootnoteReference"/>
        </w:rPr>
        <w:footnoteReference w:id="20140"/>
      </w:r>
      <w:r>
        <w:rPr/>
        <w:t xml:space="preserve"> The BDB</w:t>
      </w:r>
      <w:r>
        <w:rPr>
          <w:rStyle w:val="FootnoteReference"/>
        </w:rPr>
        <w:footnoteReference w:id="17431"/>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FootnoteReference"/>
        </w:rPr>
        <w:footnoteReference w:id="27564"/>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Just as Israel was deported to Assyria, eventually Judah was deported to Babylon. Even after Judah was allowed to return to their homeland during the Persian Empire, there has never again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Normal"/>
        <w:widowControl w:val="on"/>
        <w:spacing w:before="240" w:after="240" w:line="240" w:lineRule="auto"/>
        <w:ind w:left="0" w:right="0" w:firstLine="1"/>
        <w:jc w:val="left"/>
      </w:pPr>
      <w:r>
        <w:rPr>
          <w:b/>
          <w:bCs/>
        </w:rPr>
        <w:t xml:space="preserve">“Surely you have greatly deceived this people.”</w:t>
      </w:r>
      <w:r>
        <w:rPr/>
        <w:t xml:space="preserve"> Apparently, Jeremiah either did not yet realize the “prophets” were false prophets, or he expected God to be able to somehow stop the false prophets from prophesying. The false prophets were indeed prophesying peace (Jer. 14:13-14; 23:16-17). Jeremiah had not yet gone to the people with the message of wrath that God gave to him.</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4:20</w:t>
      </w:r>
    </w:p>
    <w:p>
      <w:pPr>
        <w:pStyle w:val="rNormal"/>
        <w:widowControl w:val="on"/>
        <w:spacing w:before="240" w:after="240" w:line="240" w:lineRule="auto"/>
        <w:ind w:left="0" w:right="0" w:firstLine="1"/>
        <w:jc w:val="left"/>
      </w:pPr>
      <w:r>
        <w:rPr>
          <w:b/>
          <w:bCs/>
        </w:rPr>
        <w:t xml:space="preserve">“for the whole land is laid waste.”</w:t>
      </w:r>
      <w:r>
        <w:rPr/>
        <w:t xml:space="preserve"> This has not happened yet, but is in the prophet’s vision of what is coming.</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5:2</w:t>
      </w:r>
    </w:p>
    <w:p>
      <w:pPr>
        <w:pStyle w:val="rNormal"/>
        <w:widowControl w:val="on"/>
        <w:spacing w:before="240" w:after="240" w:line="240" w:lineRule="auto"/>
        <w:ind w:left="0" w:right="0" w:firstLine="1"/>
        <w:jc w:val="left"/>
      </w:pPr>
      <w:r>
        <w:rPr>
          <w:b/>
          <w:bCs/>
        </w:rPr>
        <w:t xml:space="preserve">“surely they swear falsely.”</w:t>
      </w:r>
      <w:r>
        <w:rPr/>
        <w:t xml:space="preserve"> Lying and false testimony were rampant in the days of Jeremiah. People had abandoned the Law (cf. Exod. 20:16; Lev. 19:11-12).</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FootnoteReference"/>
        </w:rPr>
        <w:footnoteReference w:id="31512"/>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FootnoteReference"/>
        </w:rPr>
        <w:footnoteReference w:id="22656"/>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here, as the word used for “deceive” is related to the name “Jacob.” Thus, the idea in the text is something like every brother will be a “Jacob” and deceive and supplant his brother like Jacob deceived and supplanted Esau. In fact, it has been suggested that the verse could be translated to mean that every brother is a “deceiving Jacob.”</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FootnoteReference"/>
        </w:rPr>
        <w:footnoteReference w:id="20081"/>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FootnoteReference"/>
        </w:rPr>
        <w:footnoteReference w:id="17046"/>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10:11</w:t>
      </w:r>
    </w:p>
    <w:p>
      <w:pPr>
        <w:pStyle w:val="rNormal"/>
        <w:widowControl w:val="on"/>
        <w:spacing w:before="240" w:after="240" w:line="240" w:lineRule="auto"/>
        <w:ind w:left="0" w:right="0" w:firstLine="1"/>
        <w:jc w:val="left"/>
      </w:pPr>
      <w:r>
        <w:rPr>
          <w:b/>
          <w:bCs/>
        </w:rPr>
        <w:t xml:space="preserve">“You are to say this to them:”</w:t>
      </w:r>
      <w:r>
        <w:rPr/>
        <w:t xml:space="preserve"> Jeremiah 10:11 is the only verse in the book of Jeremiah that is in Aramaic, not Hebrew.</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were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FootnoteReference"/>
        </w:rPr>
        <w:footnoteReference w:id="25182"/>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20372"/>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FootnoteReference"/>
        </w:rPr>
        <w:footnoteReference w:id="13774"/>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21244"/>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not be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Word Study: “Psuchē”).</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FootnoteReference"/>
        </w:rPr>
        <w:footnoteReference w:id="15877"/>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859568680f4339535"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FootnoteReference"/>
        </w:rPr>
        <w:footnoteReference w:id="31904"/>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FootnoteReference"/>
        </w:rPr>
        <w:footnoteReference w:id="22138"/>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FootnoteReference"/>
        </w:rPr>
        <w:footnoteReference w:id="20521"/>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“Then some people said.”</w:t>
      </w:r>
      <w:r>
        <w:rPr/>
        <w:t xml:space="preserve"> The Hebrew text is literally “they said,” but who “they” are has to be gleaned from the context. In this case, it refers not to all the people but to Jeremiah’s enemies.</w:t>
      </w:r>
    </w:p>
    <w:p>
      <w:pPr>
        <w:pStyle w:val="rNormal"/>
        <w:widowControl w:val="on"/>
        <w:spacing w:before="240" w:after="240" w:line="240" w:lineRule="auto"/>
        <w:ind w:left="0" w:right="0" w:firstLine="1"/>
        <w:jc w:val="left"/>
      </w:pPr>
      <w:r>
        <w:rPr>
          <w:b/>
          <w:bCs/>
        </w:rPr>
        <w:t xml:space="preserve">“for the teaching of the law by the priests will not be lost.”</w:t>
      </w:r>
      <w:r>
        <w:rPr/>
        <w:t xml:space="preserve"> Jeremiah’s enemies planned to get rid of Jeremiah and almost managed to kill him on several occasions. Jeremiah was a priest and therefore supposedly valuable for society, but his enemies reasoned that even if they got rid of Jeremiah the priest there would still be other priests to teach the law, although the priests they listened to had been compromised and were teaching lies. Jeremiah’s enemies thought, “What’s the problem with getting rid of one priest, there are other priests around.”</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FootnoteReference"/>
        </w:rPr>
        <w:footnoteReference w:id="14239"/>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FootnoteReference"/>
        </w:rPr>
        <w:footnoteReference w:id="22706"/>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FootnoteReference"/>
        </w:rPr>
        <w:footnoteReference w:id="21363"/>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23494"/>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FootnoteReference"/>
        </w:rPr>
        <w:footnoteReference w:id="31795"/>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which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descendant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descendant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FootnoteReference"/>
        </w:rPr>
        <w:footnoteReference w:id="30951"/>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Word Study: “Psuchē.”]</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In Jeremiah 18:11 God spoke to Jeremiah and said, “So now, speak to the men of Judah and to the inhabitants of Jerusalem, saying, ‘This is what Yahweh says: Behold, I am shaping evil against you, and planning a plan against you. Turn back, each one of you, from your evil ways and amend your ways and your doings.’” Also,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FootnoteReference"/>
        </w:rPr>
        <w:footnoteReference w:id="23677"/>
      </w:r>
      <w:r>
        <w:rPr/>
        <w:t xml:space="preserve"> Barnes’ commentary on the Bible correctly states that the “Messiah shall be revealed to them out of their own midst.”</w:t>
      </w:r>
      <w:r>
        <w:rPr>
          <w:rStyle w:val="FootnoteReference"/>
        </w:rPr>
        <w:footnoteReference w:id="16629"/>
      </w:r>
      <w:r>
        <w:rPr/>
        <w:t xml:space="preserve"> Ancient Jews applied Jeremiah 30:21 to the Messiah. Alfred Edersheim wrote, “Jeremiah 30:21 is applied to the Messiah in the Targum, and also in the Midrash on Psalm 21:7.”</w:t>
      </w:r>
      <w:r>
        <w:rPr>
          <w:rStyle w:val="FootnoteReference"/>
        </w:rPr>
        <w:footnoteReference w:id="24625"/>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dwelt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Part of the New Covenant was the coming of a new kind of holy spirit. The Old Testament prophets had foretold that a new spirit was coming in the future, one that was different from the spirit God gave in Old Testament times. It was foretold to come as part of the Messianic Kingdom and the New Covenant that God would make with Israel (cf. Isa. 32:15-18; 44:3-5; Ezek. 11:17-21; 36:26-27; Joel 2:28-29).</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FootnoteReference"/>
        </w:rPr>
        <w:footnoteReference w:id="30279"/>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54:7;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“pay attention to.”</w:t>
      </w:r>
      <w:r>
        <w:rPr/>
        <w:t xml:space="preserve"> The Hebrew text is literally “hear,” but this is the idiomatic use—the full or “pregnant” sense—of the word “hear,” which means more than just hear audibly, it means to hear, listen to, pay attention to, and act upon. In this context, “listen to” or “pay attention to” is better than “hear” because God’s intention was not just that the Judeans would “hear” about the disaster that was coming, but would “pay attention” to God’s warning and change their ways. Many verbs have an idiomatic or “pregnant” sense, including “remember,” “look” (or “see”), and “know” (see commentary on Luke 23:42).</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Normal"/>
        <w:widowControl w:val="on"/>
        <w:spacing w:before="240" w:after="240" w:line="240" w:lineRule="auto"/>
        <w:ind w:left="0" w:right="0" w:firstLine="1"/>
        <w:jc w:val="left"/>
      </w:pPr>
      <w:r>
        <w:rPr>
          <w:b/>
          <w:bCs/>
        </w:rPr>
        <w:t xml:space="preserve">“then I will forgive their iniquity and their sin.”</w:t>
      </w:r>
      <w:r>
        <w:rPr/>
        <w:t xml:space="preserve"> God makes it clear in other places in the Bible that if people turn from their evil ways, God will bless them (cf. Jer. 18:7-10; 36:3; Ezek. 3:17-21; 18:21-24; 33:12-16).</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FootnoteReference"/>
        </w:rPr>
        <w:footnoteReference w:id="14173"/>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“Rising up early and sending” is an idiom that means to send again and again. The idea is that God rose up early and sent His prophets, and sent them over and over as the day progressed. The REV has kept the idiom but inserted the meaning of the idiom by adding “again and again” in italics. The CSB brings the idiom into simple English and reads,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FootnoteReference"/>
        </w:rPr>
        <w:footnoteReference w:id="24595"/>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Word Study: “Psuchē”).</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FootnoteReference"/>
        </w:rPr>
        <w:footnoteReference w:id="19783"/>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FootnoteReference"/>
        </w:rPr>
        <w:footnoteReference w:id="16572"/>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FootnoteReference"/>
        </w:rPr>
        <w:footnoteReference w:id="12582"/>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FootnoteReference"/>
        </w:rPr>
        <w:footnoteReference w:id="16316"/>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FootnoteReference"/>
        </w:rPr>
        <w:footnoteReference w:id="14916"/>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FootnoteReference"/>
        </w:rPr>
        <w:footnoteReference w:id="23320"/>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slaughtered the sons of Zedekiah.”</w:t>
      </w:r>
      <w:r>
        <w:rPr/>
        <w:t xml:space="preserve"> Cf. Jeremiah 39:6, and commentary on Jeremiah 39:6, but also see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759968680f42b566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224924"/>
      <w:docPartObj>
        <w:docPartGallery w:val="Page Numbers (Bottom of Page)"/>
        <w:docPartUnique/>
      </w:docPartObj>
    </w:sdtPr>
    <w:sdtContent>
      <w:sdt>
        <w:sdtPr>
          <w:id w:val="9466634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630">
    <w:p>
      <w:pPr>
        <w:pStyle w:val="FootnoteText"/>
      </w:pPr>
      <w:r>
        <w:rPr>
          <w:rStyle w:val="FootnoteReference"/>
        </w:rPr>
        <w:footnoteRef/>
      </w:r>
      <w:r>
        <w:t xml:space="preserve">
          <w:r>
            <w:t xml:space="preserve">
              <w:r>
                <w:t xml:space="preserve"> J. A. Thompson, </w:t>
              </w:r>
              <w:r>
                <w:rPr>
                  <w:i/>
                </w:rPr>
                <w:t xml:space="preserve">The Book of Jeremiah</w:t>
              </w:r>
              <w:r>
                <w:t xml:space="preserve"> [NICOT], 167.</w:t>
              </w:r>
            </w:t>
          </w:r>
        </w:t>
      </w:r>
    </w:p>
  </w:footnote>
  <w:footnote w:id="16761">
    <w:p>
      <w:pPr>
        <w:pStyle w:val="FootnoteText"/>
      </w:pPr>
      <w:r>
        <w:rPr>
          <w:rStyle w:val="FootnoteReference"/>
        </w:rPr>
        <w:footnoteRef/>
      </w:r>
      <w:r>
        <w:t xml:space="preserve">
          <w:r>
            <w:t xml:space="preserve">
              <w:r>
                <w:t xml:space="preserve"> Walter Kaiser, Jr., </w:t>
              </w:r>
              <w:r>
                <w:rPr>
                  <w:i/>
                </w:rPr>
                <w:t xml:space="preserve">Walking the Ancient Paths</w:t>
              </w:r>
              <w:r>
                <w:t xml:space="preserve">, 51.</w:t>
              </w:r>
            </w:t>
          </w:r>
        </w:t>
      </w:r>
    </w:p>
  </w:footnote>
  <w:footnote w:id="3001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8:42.</w:t>
              </w:r>
            </w:t>
          </w:r>
        </w:t>
      </w:r>
    </w:p>
  </w:footnote>
  <w:footnote w:id="20140">
    <w:p>
      <w:pPr>
        <w:pStyle w:val="FootnoteText"/>
      </w:pPr>
      <w:r>
        <w:rPr>
          <w:rStyle w:val="FootnoteReference"/>
        </w:rPr>
        <w:footnoteRef/>
      </w:r>
      <w:r>
        <w:t xml:space="preserve">
          <w:r>
            <w:t xml:space="preserve">
              <w:r>
                <w:t xml:space="preserve"> Cf.</w:t>
              </w:r>
              <w:r>
                <w:rPr>
                  <w:i/>
                </w:rPr>
                <w:t xml:space="preserve"> HALOT</w:t>
              </w:r>
              <w:r>
                <w:t xml:space="preserve"> and Holladay.</w:t>
              </w:r>
            </w:t>
          </w:r>
        </w:t>
      </w:r>
    </w:p>
  </w:footnote>
  <w:footnote w:id="1743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7564">
    <w:p>
      <w:pPr>
        <w:pStyle w:val="FootnoteText"/>
      </w:pPr>
      <w:r>
        <w:rPr>
          <w:rStyle w:val="FootnoteReference"/>
        </w:rPr>
        <w:footnoteRef/>
      </w:r>
      <w:r>
        <w:t xml:space="preserve">
          <w:r>
            <w:t xml:space="preserve">
              <w:r>
                <w:t xml:space="preserve"> J. A. Thompson, </w:t>
              </w:r>
              <w:r>
                <w:rPr>
                  <w:i/>
                </w:rPr>
                <w:t xml:space="preserve">The Book of Jeremiah</w:t>
              </w:r>
              <w:r>
                <w:t xml:space="preserve"> [NICOT], 178.</w:t>
              </w:r>
            </w:t>
          </w:r>
        </w:t>
      </w:r>
    </w:p>
  </w:footnote>
  <w:footnote w:id="31512">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8:103.</w:t>
              </w:r>
            </w:t>
          </w:r>
        </w:t>
      </w:r>
    </w:p>
  </w:footnote>
  <w:footnote w:id="22656">
    <w:p>
      <w:pPr>
        <w:pStyle w:val="FootnoteText"/>
      </w:pPr>
      <w:r>
        <w:rPr>
          <w:rStyle w:val="FootnoteReference"/>
        </w:rPr>
        <w:footnoteRef/>
      </w:r>
      <w:r>
        <w:t xml:space="preserve">
          <w:r>
            <w:t xml:space="preserve">
              <w:r>
                <w:t xml:space="preserve"> J. A. Thompson, </w:t>
              </w:r>
              <w:r>
                <w:rPr>
                  <w:i/>
                </w:rPr>
                <w:t xml:space="preserve">The Book of Jeremiah</w:t>
              </w:r>
              <w:r>
                <w:t xml:space="preserve"> [NICOT], 295.</w:t>
              </w:r>
            </w:t>
          </w:r>
        </w:t>
      </w:r>
    </w:p>
  </w:footnote>
  <w:footnote w:id="20081">
    <w:p>
      <w:pPr>
        <w:pStyle w:val="FootnoteText"/>
      </w:pPr>
      <w:r>
        <w:rPr>
          <w:rStyle w:val="FootnoteReference"/>
        </w:rPr>
        <w:footnoteRef/>
      </w:r>
      <w:r>
        <w:t xml:space="preserve">
          <w:r>
            <w:t xml:space="preserve">
              <w:r>
                <w:t xml:space="preserve"> Cf. J. A. Thompson, </w:t>
              </w:r>
              <w:r>
                <w:rPr>
                  <w:i/>
                </w:rPr>
                <w:t xml:space="preserve">The Book of Jeremiah</w:t>
              </w:r>
              <w:r>
                <w:t xml:space="preserve"> [NICOT], 311.</w:t>
              </w:r>
            </w:t>
          </w:r>
        </w:t>
      </w:r>
    </w:p>
  </w:footnote>
  <w:footnote w:id="17046">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25182">
    <w:p>
      <w:pPr>
        <w:pStyle w:val="FootnoteText"/>
      </w:pPr>
      <w:r>
        <w:rPr>
          <w:rStyle w:val="FootnoteReference"/>
        </w:rPr>
        <w:footnoteRef/>
      </w:r>
      <w:r>
        <w:t xml:space="preserve">
          <w:r>
            <w:t xml:space="preserve">
              <w:r>
                <w:t xml:space="preserve"> J. A. Thompson, </w:t>
              </w:r>
              <w:r>
                <w:rPr>
                  <w:i/>
                </w:rPr>
                <w:t xml:space="preserve">The Book of Jeremiah</w:t>
              </w:r>
              <w:r>
                <w:t xml:space="preserve"> [NICOT], 346.</w:t>
              </w:r>
            </w:t>
          </w:r>
        </w:t>
      </w:r>
    </w:p>
  </w:footnote>
  <w:footnote w:id="2037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3774">
    <w:p>
      <w:pPr>
        <w:pStyle w:val="FootnoteText"/>
      </w:pPr>
      <w:r>
        <w:rPr>
          <w:rStyle w:val="FootnoteReference"/>
        </w:rPr>
        <w:footnoteRef/>
      </w:r>
      <w:r>
        <w:t xml:space="preserve">
          <w:r>
            <w:t xml:space="preserve">
              <w:r>
                <w:t xml:space="preserve"> J. A. Thompson, </w:t>
              </w:r>
              <w:r>
                <w:rPr>
                  <w:i/>
                </w:rPr>
                <w:t xml:space="preserve">The Book of Jeremiah</w:t>
              </w:r>
              <w:r>
                <w:t xml:space="preserve"> [NICOT].</w:t>
              </w:r>
            </w:t>
          </w:r>
        </w:t>
      </w:r>
    </w:p>
  </w:footnote>
  <w:footnote w:id="21244">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15877">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“Salt Deserts,” Kindle.</w:t>
              </w:r>
            </w:t>
          </w:r>
        </w:t>
      </w:r>
    </w:p>
  </w:footnote>
  <w:footnote w:id="31904">
    <w:p>
      <w:pPr>
        <w:pStyle w:val="FootnoteText"/>
      </w:pPr>
      <w:r>
        <w:rPr>
          <w:rStyle w:val="FootnoteReference"/>
        </w:rPr>
        <w:footnoteRef/>
      </w:r>
      <w:r>
        <w:t xml:space="preserve">
          <w:r>
            <w:t xml:space="preserve">
              <w:r>
                <w:t xml:space="preserve"> William Hollady, </w:t>
              </w:r>
              <w:r>
                <w:rPr>
                  <w:i/>
                </w:rPr>
                <w:t xml:space="preserve">Jeremiah</w:t>
              </w:r>
              <w:r>
                <w:t xml:space="preserve">, Hermeneia.</w:t>
              </w:r>
            </w:t>
          </w:r>
        </w:t>
      </w:r>
    </w:p>
  </w:footnote>
  <w:footnote w:id="22138">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 w:id="20521">
    <w:p>
      <w:pPr>
        <w:pStyle w:val="FootnoteText"/>
      </w:pPr>
      <w:r>
        <w:rPr>
          <w:rStyle w:val="FootnoteReference"/>
        </w:rPr>
        <w:footnoteRef/>
      </w:r>
      <w:r>
        <w:t xml:space="preserve">
          <w:r>
            <w:t xml:space="preserve">
              <w:r>
                <w:t xml:space="preserve"> NET First Edition text note on J. P. Hyatt, </w:t>
              </w:r>
              <w:r>
                <w:rPr>
                  <w:i/>
                </w:rPr>
                <w:t xml:space="preserve">Exodus</w:t>
              </w:r>
              <w:r>
                <w:t xml:space="preserve">, New Century Bible Commentary, 307.</w:t>
              </w:r>
            </w:t>
          </w:r>
        </w:t>
      </w:r>
    </w:p>
  </w:footnote>
  <w:footnote w:id="14239">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247.</w:t>
              </w:r>
            </w:t>
          </w:r>
        </w:t>
      </w:r>
    </w:p>
  </w:footnote>
  <w:footnote w:id="22706">
    <w:p>
      <w:pPr>
        <w:pStyle w:val="FootnoteText"/>
      </w:pPr>
      <w:r>
        <w:rPr>
          <w:rStyle w:val="FootnoteReference"/>
        </w:rPr>
        <w:footnoteRef/>
      </w:r>
      <w:r>
        <w:t xml:space="preserve">
          <w:r>
            <w:t xml:space="preserve">
              <w:r>
                <w:t xml:space="preserve"> Walter Kaiser, Jr., </w:t>
              </w:r>
              <w:r>
                <w:rPr>
                  <w:i/>
                </w:rPr>
                <w:t xml:space="preserve">Walking the Ancient Paths</w:t>
              </w:r>
              <w:r>
                <w:t xml:space="preserve">, 247-248 and footnote 274.</w:t>
              </w:r>
            </w:t>
          </w:r>
        </w:t>
      </w:r>
    </w:p>
  </w:footnote>
  <w:footnote w:id="21363">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248.</w:t>
              </w:r>
            </w:t>
          </w:r>
        </w:t>
      </w:r>
    </w:p>
  </w:footnote>
  <w:footnote w:id="23494">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3179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8:206-207.</w:t>
              </w:r>
            </w:t>
          </w:r>
        </w:t>
      </w:r>
    </w:p>
  </w:footnote>
  <w:footnote w:id="3095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286-293, “antanaclasis.”</w:t>
              </w:r>
            </w:t>
          </w:r>
        </w:t>
      </w:r>
    </w:p>
  </w:footnote>
  <w:footnote w:id="23677">
    <w:p>
      <w:pPr>
        <w:pStyle w:val="FootnoteText"/>
      </w:pPr>
      <w:r>
        <w:rPr>
          <w:rStyle w:val="FootnoteReference"/>
        </w:rPr>
        <w:footnoteRef/>
      </w:r>
      <w:r>
        <w:t xml:space="preserve">
          <w:r>
            <w:t xml:space="preserve">
              <w:r>
                <w:t xml:space="preserve"> Keil and Delitzsch, </w:t>
              </w:r>
              <w:r>
                <w:rPr>
                  <w:i/>
                </w:rPr>
                <w:t xml:space="preserve">Commentary on the Old Testament: Jeremiah</w:t>
              </w:r>
              <w:r>
                <w:t xml:space="preserve">, 8:266.</w:t>
              </w:r>
            </w:t>
          </w:r>
        </w:t>
      </w:r>
    </w:p>
  </w:footnote>
  <w:footnote w:id="16629">
    <w:p>
      <w:pPr>
        <w:pStyle w:val="FootnoteText"/>
      </w:pPr>
      <w:r>
        <w:rPr>
          <w:rStyle w:val="FootnoteReference"/>
        </w:rPr>
        <w:footnoteRef/>
      </w:r>
      <w:r>
        <w:t xml:space="preserve">
          <w:r>
            <w:t xml:space="preserve">
              <w:r>
                <w:t xml:space="preserve"> Albert Barnes, </w:t>
              </w:r>
              <w:r>
                <w:rPr>
                  <w:i/>
                </w:rPr>
                <w:t xml:space="preserve">Barnes’ Notes</w:t>
              </w:r>
              <w:r>
                <w:t xml:space="preserve">, s.v. Jer. 30:21.</w:t>
              </w:r>
            </w:t>
          </w:r>
        </w:t>
      </w:r>
    </w:p>
  </w:footnote>
  <w:footnote w:id="24625">
    <w:p>
      <w:pPr>
        <w:pStyle w:val="FootnoteText"/>
      </w:pPr>
      <w:r>
        <w:rPr>
          <w:rStyle w:val="FootnoteReference"/>
        </w:rPr>
        <w:footnoteRef/>
      </w:r>
      <w:r>
        <w:t xml:space="preserve">
          <w:r>
            <w:t xml:space="preserve">
              <w:r>
                <w:t xml:space="preserve"> Edersheim, </w:t>
              </w:r>
              <w:r>
                <w:rPr>
                  <w:i/>
                </w:rPr>
                <w:t xml:space="preserve">Life and Times</w:t>
              </w:r>
              <w:r>
                <w:t xml:space="preserve">, 731, app. XVI, “List of Old Testament Passages Messianically Applied in Ancient Rabbinic Writings.”</w:t>
              </w:r>
            </w:t>
          </w:r>
        </w:t>
      </w:r>
    </w:p>
  </w:footnote>
  <w:footnote w:id="30279">
    <w:p>
      <w:pPr>
        <w:pStyle w:val="FootnoteText"/>
      </w:pPr>
      <w:r>
        <w:rPr>
          <w:rStyle w:val="FootnoteReference"/>
        </w:rPr>
        <w:footnoteRef/>
      </w:r>
      <w:r>
        <w:t xml:space="preserve">
          <w:r>
            <w:t xml:space="preserve">
              <w:r>
                <w:t xml:space="preserve"> J. A. Thompson, </w:t>
              </w:r>
              <w:r>
                <w:rPr>
                  <w:i/>
                </w:rPr>
                <w:t xml:space="preserve">The Book of Jeremiah</w:t>
              </w:r>
              <w:r>
                <w:t xml:space="preserve"> [NICOT], 538.</w:t>
              </w:r>
            </w:t>
          </w:r>
        </w:t>
      </w:r>
    </w:p>
  </w:footnote>
  <w:footnote w:id="14173">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4595">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9783">
    <w:p>
      <w:pPr>
        <w:pStyle w:val="FootnoteText"/>
      </w:pPr>
      <w:r>
        <w:rPr>
          <w:rStyle w:val="FootnoteReference"/>
        </w:rPr>
        <w:footnoteRef/>
      </w:r>
      <w:r>
        <w:t xml:space="preserve">
          <w:r>
            <w:t xml:space="preserve">
              <w:r>
                <w:t xml:space="preserve"> Also see John Goldingay, </w:t>
              </w:r>
              <w:r>
                <w:rPr>
                  <w:i/>
                </w:rPr>
                <w:t xml:space="preserve">The Book of Jeremiah</w:t>
              </w:r>
              <w:r>
                <w:t xml:space="preserve"> [NICOT], 850-852.</w:t>
              </w:r>
            </w:t>
          </w:r>
        </w:t>
      </w:r>
    </w:p>
  </w:footnote>
  <w:footnote w:id="16572">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12582">
    <w:p>
      <w:pPr>
        <w:pStyle w:val="FootnoteText"/>
      </w:pPr>
      <w:r>
        <w:rPr>
          <w:rStyle w:val="FootnoteReference"/>
        </w:rPr>
        <w:footnoteRef/>
      </w:r>
      <w:r>
        <w:t xml:space="preserve">
          <w:r>
            <w:t xml:space="preserve">
              <w:r>
                <w:t xml:space="preserve"> John Goldingay, The Book of Jeremiah, NICOT, p. 892.</w:t>
              </w:r>
            </w:t>
          </w:r>
        </w:t>
      </w:r>
    </w:p>
  </w:footnote>
  <w:footnote w:id="16316">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930-932.</w:t>
              </w:r>
            </w:t>
          </w:r>
        </w:t>
      </w:r>
    </w:p>
  </w:footnote>
  <w:footnote w:id="14916">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933.</w:t>
              </w:r>
            </w:t>
          </w:r>
        </w:t>
      </w:r>
    </w:p>
  </w:footnote>
  <w:footnote w:id="23320">
    <w:p>
      <w:pPr>
        <w:pStyle w:val="FootnoteText"/>
      </w:pPr>
      <w:r>
        <w:rPr>
          <w:rStyle w:val="FootnoteReference"/>
        </w:rPr>
        <w:footnoteRef/>
      </w:r>
      <w:r>
        <w:t xml:space="preserve">
          <w:r>
            <w:t xml:space="preserve">
              <w:r>
                <w:t xml:space="preserve"> Wikipedia, “Medes,” accessed June 6, 2023, https://en.wikipedia.org/wiki/Medes.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972069">
    <w:multiLevelType w:val="hybridMultilevel"/>
    <w:lvl w:ilvl="0" w:tplc="43138990">
      <w:start w:val="1"/>
      <w:numFmt w:val="decimal"/>
      <w:lvlText w:val="%1."/>
      <w:lvlJc w:val="left"/>
      <w:pPr>
        <w:ind w:left="720" w:hanging="360"/>
      </w:pPr>
    </w:lvl>
    <w:lvl w:ilvl="1" w:tplc="43138990" w:tentative="1">
      <w:start w:val="1"/>
      <w:numFmt w:val="lowerLetter"/>
      <w:lvlText w:val="%2."/>
      <w:lvlJc w:val="left"/>
      <w:pPr>
        <w:ind w:left="1440" w:hanging="360"/>
      </w:pPr>
    </w:lvl>
    <w:lvl w:ilvl="2" w:tplc="43138990" w:tentative="1">
      <w:start w:val="1"/>
      <w:numFmt w:val="lowerRoman"/>
      <w:lvlText w:val="%3."/>
      <w:lvlJc w:val="right"/>
      <w:pPr>
        <w:ind w:left="2160" w:hanging="180"/>
      </w:pPr>
    </w:lvl>
    <w:lvl w:ilvl="3" w:tplc="43138990" w:tentative="1">
      <w:start w:val="1"/>
      <w:numFmt w:val="decimal"/>
      <w:lvlText w:val="%4."/>
      <w:lvlJc w:val="left"/>
      <w:pPr>
        <w:ind w:left="2880" w:hanging="360"/>
      </w:pPr>
    </w:lvl>
    <w:lvl w:ilvl="4" w:tplc="43138990" w:tentative="1">
      <w:start w:val="1"/>
      <w:numFmt w:val="lowerLetter"/>
      <w:lvlText w:val="%5."/>
      <w:lvlJc w:val="left"/>
      <w:pPr>
        <w:ind w:left="3600" w:hanging="360"/>
      </w:pPr>
    </w:lvl>
    <w:lvl w:ilvl="5" w:tplc="43138990" w:tentative="1">
      <w:start w:val="1"/>
      <w:numFmt w:val="lowerRoman"/>
      <w:lvlText w:val="%6."/>
      <w:lvlJc w:val="right"/>
      <w:pPr>
        <w:ind w:left="4320" w:hanging="180"/>
      </w:pPr>
    </w:lvl>
    <w:lvl w:ilvl="6" w:tplc="43138990" w:tentative="1">
      <w:start w:val="1"/>
      <w:numFmt w:val="decimal"/>
      <w:lvlText w:val="%7."/>
      <w:lvlJc w:val="left"/>
      <w:pPr>
        <w:ind w:left="5040" w:hanging="360"/>
      </w:pPr>
    </w:lvl>
    <w:lvl w:ilvl="7" w:tplc="43138990" w:tentative="1">
      <w:start w:val="1"/>
      <w:numFmt w:val="lowerLetter"/>
      <w:lvlText w:val="%8."/>
      <w:lvlJc w:val="left"/>
      <w:pPr>
        <w:ind w:left="5760" w:hanging="360"/>
      </w:pPr>
    </w:lvl>
    <w:lvl w:ilvl="8" w:tplc="43138990" w:tentative="1">
      <w:start w:val="1"/>
      <w:numFmt w:val="lowerRoman"/>
      <w:lvlText w:val="%9."/>
      <w:lvlJc w:val="right"/>
      <w:pPr>
        <w:ind w:left="6480" w:hanging="180"/>
      </w:pPr>
    </w:lvl>
  </w:abstractNum>
  <w:abstractNum w:abstractNumId="6043">
    <w:multiLevelType w:val="hybridMultilevel"/>
    <w:lvl w:ilvl="0" w:tplc="170806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043">
    <w:abstractNumId w:val="6043"/>
  </w:num>
  <w:num w:numId="54972069">
    <w:abstractNumId w:val="549720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5822947" Type="http://schemas.openxmlformats.org/officeDocument/2006/relationships/numbering" Target="numbering.xml"/><Relationship Id="rId565044757" Type="http://schemas.openxmlformats.org/officeDocument/2006/relationships/comments" Target="comments.xml"/><Relationship Id="rId759968680f42b566b" Type="http://schemas.openxmlformats.org/officeDocument/2006/relationships/footer" Target="defaultFooter.xml"/><Relationship Id="rId859568680f4339535"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