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5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our position in the Body, occasionally it is the will of God to tell others about the authority one has in order to maintain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277"/>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FootnoteReference"/>
        </w:rPr>
        <w:footnoteReference w:id="29688"/>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FootnoteReference"/>
        </w:rPr>
        <w:footnoteReference w:id="28207"/>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“neither in this age, nor in that which is to come.” Ephesians 1:21 also speaks of both the present and future age, telling us that Christ is far above all rule and authority, not only “in this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“sons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DeWitt Burton writes: “Paul’s general use of the verb </w:t>
      </w:r>
      <w:r>
        <w:rPr>
          <w:i/>
          <w:iCs/>
        </w:rPr>
        <w:t xml:space="preserve">kaleō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FootnoteReference"/>
        </w:rPr>
        <w:footnoteReference w:id="30273"/>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FootnoteReference"/>
        </w:rPr>
        <w:footnoteReference w:id="26159"/>
      </w:r>
      <w:r>
        <w:rPr/>
        <w:t xml:space="preserve"> disturb, throw into confusion.</w:t>
      </w:r>
      <w:r>
        <w:rPr>
          <w:rStyle w:val="FootnoteReference"/>
        </w:rPr>
        <w:footnoteReference w:id="12400"/>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BDAG defines it as “to cause a change in state or condition.”</w:t>
      </w:r>
      <w:r>
        <w:rPr>
          <w:rStyle w:val="FootnoteReference"/>
        </w:rPr>
        <w:footnoteReference w:id="15172"/>
      </w:r>
      <w:r>
        <w:rPr/>
        <w:t xml:space="preserve"> It can denote turning something to its opposite.</w:t>
      </w:r>
      <w:r>
        <w:rPr>
          <w:rStyle w:val="FootnoteReference"/>
        </w:rPr>
        <w:footnoteReference w:id="23326"/>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FootnoteReference"/>
        </w:rPr>
        <w:footnoteReference w:id="13816"/>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were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FootnoteReference"/>
        </w:rPr>
        <w:footnoteReference w:id="30760"/>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Some translations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FootnoteReference"/>
        </w:rPr>
        <w:footnoteReference w:id="29861"/>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confirmatory adverb which is here used in a question in order to point to what the previous statements make decidedly plain and thus make the question more urgent and the desired answer more inevitable.”</w:t>
      </w:r>
      <w:r>
        <w:rPr>
          <w:rStyle w:val="FootnoteReference"/>
        </w:rPr>
        <w:footnoteReference w:id="32763"/>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w:t>
      </w:r>
      <w:r>
        <w:rPr>
          <w:i/>
          <w:iCs/>
        </w:rPr>
        <w:t xml:space="preserve">any</w:t>
      </w:r>
      <w:r>
        <w:rPr/>
        <w:t xml:space="preserve"> person...</w:t>
      </w:r>
      <w:r>
        <w:rPr>
          <w:i/>
          <w:iCs/>
        </w:rPr>
        <w:t xml:space="preserve">I received it</w:t>
      </w:r>
      <w:r>
        <w:rPr/>
        <w:t xml:space="preserv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that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“repeated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31338"/>
        </w:numPr>
        <w:spacing w:before="0" w:after="0" w:line="240" w:lineRule="auto"/>
        <w:rPr/>
      </w:pPr>
      <w:r>
        <w:rPr/>
        <w:t xml:space="preserve">God (or Jesus Christ) → holy spirit in you → your mind = a thought or emotion.</w:t>
      </w:r>
    </w:p>
    <w:p>
      <w:pPr>
        <w:numPr>
          <w:ilvl w:val="0"/>
          <w:numId w:val="31338"/>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“repeated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31338"/>
        </w:numPr>
        <w:spacing w:before="0" w:after="0" w:line="240" w:lineRule="auto"/>
        <w:rPr/>
      </w:pPr>
      <w:r>
        <w:rPr/>
        <w:t xml:space="preserve">For revelation vision: God (or Jesus Christ) → holy spirit in you → your mind (the visual center) = you see a vision as if it were real.</w:t>
      </w:r>
    </w:p>
    <w:p>
      <w:pPr>
        <w:numPr>
          <w:ilvl w:val="0"/>
          <w:numId w:val="31338"/>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“And Jesus, perceiving their thoughts said....” Jesus “knew” their thoughts by revelation. There are times when the message of knowledge or wisdom we receive comes in the form of “just knowing” what is going on. </w:t>
      </w:r>
      <w:r>
        <w:rPr>
          <w:b/>
          <w:bCs/>
        </w:rPr>
        <w:t xml:space="preserve">Emotion:</w:t>
      </w:r>
      <w:r>
        <w:rPr/>
        <w:t xml:space="preserve"> 1 Samuel 11:6, “And the spirit of God rushed upon Saul when he heard those words, and his anger burned exceedingly.”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“amazingly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FootnoteReference"/>
        </w:rPr>
        <w:footnoteReference w:id="27619"/>
      </w:r>
      <w:r>
        <w:rPr/>
        <w:t xml:space="preserve"> He was trained in the Hillel school of the Jews,</w:t>
      </w:r>
      <w:r>
        <w:rPr>
          <w:rStyle w:val="FootnoteReference"/>
        </w:rPr>
        <w:footnoteReference w:id="28765"/>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lowering him in a basket through a window in the wall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Peter and James,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FootnoteReference"/>
        </w:rPr>
        <w:footnoteReference w:id="18220"/>
      </w:r>
      <w:r>
        <w:rPr/>
        <w:t xml:space="preserve"> In this case, the apostle Paul has deep feelings for the Galatians, many of whom have been turned against him (Cf. Gal. 1:6; 3:1; etc.), and so he pleads with a volume that leaps off the page, “in the sight of God, I am not lying!” The addition is unnecessary to the context, and so it is parenthetical. If the addition were a necessary part of the context and not parenthetical, the figure is called ecphonesis or (“exclamation”).</w:t>
      </w:r>
      <w:r>
        <w:rPr>
          <w:rStyle w:val="FootnoteReference"/>
        </w:rPr>
        <w:footnoteReference w:id="18448"/>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FootnoteReference"/>
        </w:rPr>
        <w:footnoteReference w:id="16626"/>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Word Study: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Hellenistic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as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Christian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GNV, KJV, NKJV, Rotherham, RSV, RV,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to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w:t>
      </w:r>
      <w:r>
        <w:rPr>
          <w:i/>
          <w:iCs/>
        </w:rPr>
        <w:t xml:space="preserve">ekklēsia</w:t>
      </w:r>
      <w:r>
        <w:rPr/>
        <w:t xml:space="preserve">;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FootnoteReference"/>
        </w:rPr>
        <w:footnoteReference w:id="14525"/>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“not running, or had not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had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learning;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it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w:t>
      </w:r>
      <w:r>
        <w:rPr>
          <w:i/>
          <w:iCs/>
        </w:rPr>
        <w:t xml:space="preserve">who are</w:t>
      </w:r>
      <w:r>
        <w:rPr/>
        <w:t xml:space="preserve"> empty talkers and deceivers, especially those from among the Circumcised, whose mouths must be stopped, who are overthrowing whole houses by teaching things that they should not </w:t>
      </w:r>
      <w:r>
        <w:rPr>
          <w:i/>
          <w:iCs/>
        </w:rPr>
        <w:t xml:space="preserve">teach</w:t>
      </w:r>
      <w:r>
        <w:rPr/>
        <w:t xml:space="preserve">...”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because of me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mē</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FootnoteReference"/>
        </w:rPr>
        <w:footnoteReference w:id="20876"/>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Word Study: “Fool.”</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FootnoteReference"/>
        </w:rPr>
        <w:footnoteReference w:id="19723"/>
      </w:r>
      <w:r>
        <w:rPr/>
        <w:t xml:space="preserve"> Kenneth Wuest says it is the message announcing the Faith, which is close to Meyer, who says it is the news concerning the Faith.</w:t>
      </w:r>
      <w:r>
        <w:rPr>
          <w:rStyle w:val="FootnoteReference"/>
        </w:rPr>
        <w:footnoteReference w:id="13592"/>
      </w:r>
      <w:r>
        <w:rPr/>
        <w:t xml:space="preserve"> Expositor’s says “listening in faith” (listening with trust).</w:t>
      </w:r>
      <w:r>
        <w:rPr>
          <w:rStyle w:val="FootnoteReference"/>
        </w:rPr>
        <w:footnoteReference w:id="24157"/>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3:3</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3:7</w:t>
      </w:r>
    </w:p>
    <w:p>
      <w:pPr>
        <w:pStyle w:val="rNormal"/>
        <w:widowControl w:val="on"/>
        <w:spacing w:before="240" w:after="240" w:line="240" w:lineRule="auto"/>
        <w:ind w:left="0" w:right="0" w:firstLine="1"/>
        <w:jc w:val="left"/>
      </w:pPr>
      <w:r>
        <w:rPr>
          <w:b/>
          <w:bCs/>
        </w:rPr>
        <w:t xml:space="preserve">“those who rely on trust.”</w:t>
      </w:r>
      <w:r>
        <w:rPr/>
        <w:t xml:space="preserve"> The Greek literally reads “those of faith” (οἱ ἐκ πίστεως, </w:t>
      </w:r>
      <w:r>
        <w:rPr>
          <w:i/>
          <w:iCs/>
        </w:rPr>
        <w:t xml:space="preserve">hoi ek pisteōs</w:t>
      </w:r>
      <w:r>
        <w:rPr/>
        <w:t xml:space="preserve">). James Dunn points out that the wording of the Greek is almost certainly purposeful, because it contrasts those “of faith” with those “of the circumcision” (Gal. 2:12), and those “of the works of the law” (Gal. 3:10). Dunn writes, “the ‘they’ is emphatic, even exclusive: they and not others; ...faith is the decisive factor in determining and characterizing this sonship. The implication, then, is that ‘those of faith’ are those whose identity is grounded in faith, and whose relationship with God grows out of faith, is characterized and determined by believing and trusting (the promise of God, the gospel of Jesus Christ), without reference to any works of the law.”</w:t>
      </w:r>
      <w:r>
        <w:rPr>
          <w:rStyle w:val="FootnoteReference"/>
        </w:rPr>
        <w:footnoteReference w:id="21089"/>
      </w:r>
    </w:p>
    <w:p>
      <w:pPr>
        <w:pStyle w:val="rNormal"/>
        <w:widowControl w:val="on"/>
        <w:spacing w:before="240" w:after="240" w:line="240" w:lineRule="auto"/>
        <w:ind w:left="0" w:right="0"/>
        <w:jc w:val="left"/>
      </w:pPr>
      <w:r>
        <w:rPr/>
        <w:t xml:space="preserve">William Hendriksen also writes about how being “of faith” means to be a person whose basis for life is their ongoing trust (faith). He writes, “To be ‘of faith’ means to be characterized or controlled by faith, to have trust in God as one’s guiding principle.</w:t>
      </w:r>
      <w:r>
        <w:rPr>
          <w:rStyle w:val="FootnoteReference"/>
        </w:rPr>
        <w:footnoteReference w:id="22235"/>
      </w:r>
    </w:p>
    <w:p>
      <w:pPr>
        <w:pStyle w:val="rNormal"/>
        <w:widowControl w:val="on"/>
        <w:spacing w:before="240" w:after="240" w:line="240" w:lineRule="auto"/>
        <w:ind w:left="0" w:right="0"/>
        <w:jc w:val="left"/>
      </w:pPr>
      <w:r>
        <w:rPr/>
        <w:t xml:space="preserve">Richard Longenecker uses the phrase “rely on faith” and translates Galatians 3:7 as, “You know, then, that those who rely on faith are the sons of Abraham.” He then goes on to comment on his translation. “The [Greek] preposition </w:t>
      </w:r>
      <w:r>
        <w:rPr>
          <w:i/>
          <w:iCs/>
        </w:rPr>
        <w:t xml:space="preserve">ek</w:t>
      </w:r>
      <w:r>
        <w:rPr/>
        <w:t xml:space="preserve"> denotes source or basis for…. Here, however, the word </w:t>
      </w:r>
      <w:r>
        <w:rPr>
          <w:i/>
          <w:iCs/>
        </w:rPr>
        <w:t xml:space="preserve">pistis</w:t>
      </w:r>
      <w:r>
        <w:rPr/>
        <w:t xml:space="preserve"> (‘faith’) signals a subjective response to the objective factors of what Christ has done and the proclamation of the message. Being, therefore, set in a subjective context, </w:t>
      </w:r>
      <w:r>
        <w:rPr>
          <w:i/>
          <w:iCs/>
        </w:rPr>
        <w:t xml:space="preserve">ek</w:t>
      </w:r>
      <w:r>
        <w:rPr/>
        <w:t xml:space="preserve"> here should be taken as “rely on,” for faith is not the objective basis for human redemption but man’s subjective response to what has been done by Christ and proclaimed by his messengers.”</w:t>
      </w:r>
      <w:r>
        <w:rPr>
          <w:rStyle w:val="FootnoteReference"/>
        </w:rPr>
        <w:footnoteReference w:id="13366"/>
      </w:r>
    </w:p>
    <w:p>
      <w:pPr>
        <w:pStyle w:val="rNormal"/>
        <w:widowControl w:val="on"/>
        <w:spacing w:before="240" w:after="240" w:line="240" w:lineRule="auto"/>
        <w:ind w:left="0" w:right="0"/>
        <w:jc w:val="left"/>
      </w:pPr>
      <w:r>
        <w:rPr/>
        <w:t xml:space="preserve">Other English Bibles express the idea of “rely on trust” but with slightly different wording. For example, the CJB reads “those who live by trusting and being faithful,” while the NLT says, “those who put their faith in God.” The AMP is somewhat similar and says, “the people who live by faith.” Some other versions shorten the text and just read, “those who believe,” that is, they continue to believe day after day (cf. CEB, NET, NIV84, NRSV). Many versions are more strictly literal but are less clear, and read “those of faith” (cf. ESV, LSV; cf. KJV, LSB, NASB, REB). A clearer reading than that is “those who have faith” (cf. BSB, CSB, GWORD, NAB, NIV2011).</w:t>
      </w:r>
    </w:p>
    <w:p>
      <w:pPr>
        <w:pStyle w:val="rNormal"/>
        <w:widowControl w:val="on"/>
        <w:spacing w:before="240" w:after="240" w:line="240" w:lineRule="auto"/>
        <w:ind w:left="0" w:right="0"/>
        <w:jc w:val="left"/>
      </w:pPr>
      <w:r>
        <w:rPr/>
        <w:t xml:space="preserve">E. Huxtable expounds upon the meaning of “faith” (“trust”) by comparing it to Abraham and moving forward from him to the general principle. And so, starting with Abraham, Huxtable writes: “He knew nothing of Levitical Law. He walked by faith. ...It was a grand, simple trust in God. It was shown in his forsaking the idols of his forefathers and worshiping the one spiritual God, in his leaving his home and going, he knew not whither in obedience to a divine voice, in his willingness to sacrifice his son, in his hope of a future inheritance. Such a faith is a personal reliance, leading to active obedience and encouraged by confident anticipation. Abraham's faith is the model faith for us. For us, faith is to rely on Christ, to be loyal to Christ, to hope in Christ.</w:t>
      </w:r>
      <w:r>
        <w:rPr>
          <w:rStyle w:val="FootnoteReference"/>
        </w:rPr>
        <w:footnoteReference w:id="26840"/>
      </w:r>
    </w:p>
    <w:p>
      <w:pPr>
        <w:pStyle w:val="rNormal"/>
        <w:widowControl w:val="on"/>
        <w:spacing w:before="240" w:after="240" w:line="240" w:lineRule="auto"/>
        <w:ind w:left="0" w:right="0"/>
        <w:jc w:val="left"/>
      </w:pPr>
      <w:r>
        <w:rPr/>
        <w:t xml:space="preserve">In defining that “trust” (“faith”) refers to a person’s “reliance” on Christ, and thus ultimately on God, Huxtable and Longenecker capture the essence of what Paul is saying: those who “rely on trust” are the children of Abraham now, and in the future.</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“through you.”</w:t>
      </w:r>
      <w:r>
        <w:rPr/>
        <w:t xml:space="preserve"> This is part of a quotation from Genesis 12:3 where God tells Abraham that “All the nations will be blessed through you.” The word “through” is translated from the Greek preposition </w:t>
      </w:r>
      <w:r>
        <w:rPr>
          <w:i/>
          <w:iCs/>
        </w:rPr>
        <w:t xml:space="preserve">en</w:t>
      </w:r>
      <w:r>
        <w:rPr/>
        <w:t xml:space="preserve"> (“in”) and is used in the sense of “sphere” and “relation” to Abraham. It can be translated, “in connection with” or even sometimes, “in union with” (see commentary on Rom. 6:3; Eph. 1:3; and Col. 1:17). The important connotation of the preposition </w:t>
      </w:r>
      <w:r>
        <w:rPr>
          <w:i/>
          <w:iCs/>
        </w:rPr>
        <w:t xml:space="preserve">en</w:t>
      </w:r>
      <w:r>
        <w:rPr/>
        <w:t xml:space="preserve"> in this verse is that it marks a close association with something. The statement, “All the nations will be blessed through you”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 And so, it would be through Abraham’s seed (“descendant”) that all the nations would receive these promised blessings.</w:t>
      </w:r>
    </w:p>
    <w:p>
      <w:pPr>
        <w:pStyle w:val="rVersHead"/>
        <w:widowControl w:val="on"/>
      </w:pPr>
      <w:r>
        <w:rPr/>
        <w:t xml:space="preserve">Gal 3:9</w:t>
      </w:r>
    </w:p>
    <w:p>
      <w:pPr>
        <w:pStyle w:val="rNormal"/>
        <w:widowControl w:val="on"/>
        <w:spacing w:before="240" w:after="240" w:line="240" w:lineRule="auto"/>
        <w:ind w:left="0" w:right="0" w:firstLine="1"/>
        <w:jc w:val="left"/>
      </w:pPr>
      <w:r>
        <w:rPr>
          <w:b/>
          <w:bCs/>
        </w:rPr>
        <w:t xml:space="preserve">“rely on trust.”</w:t>
      </w:r>
      <w:r>
        <w:rPr/>
        <w:t xml:space="preserve"> For the reason for the translation “rely on trust,” see commentary on Galatians 3:7</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“All the nations will be blessed through you”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the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FootnoteReference"/>
        </w:rPr>
        <w:footnoteReference w:id="15992"/>
      </w:r>
      <w:r>
        <w:rPr/>
        <w:t xml:space="preserve"> and could be translated “for the sake of.” But we feel, along with most translators, </w:t>
      </w:r>
      <w:r>
        <w:rPr>
          <w:i/>
          <w:iCs/>
        </w:rPr>
        <w:t xml:space="preserve">charin</w:t>
      </w:r>
      <w:r>
        <w:rPr/>
        <w:t xml:space="preserve"> here is “indicating the reason,”</w:t>
      </w:r>
      <w:r>
        <w:rPr>
          <w:rStyle w:val="FootnoteReference"/>
        </w:rPr>
        <w:footnoteReference w:id="21553"/>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FootnoteReference"/>
        </w:rPr>
        <w:footnoteReference w:id="14412"/>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The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then contrary to the promises of God?”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that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“since there is no distinction between Jew and Greek, for the same Lord is </w:t>
      </w:r>
      <w:r>
        <w:rPr>
          <w:i/>
          <w:iCs/>
        </w:rPr>
        <w:t xml:space="preserve">Lord</w:t>
      </w:r>
      <w:r>
        <w:rPr/>
        <w:t xml:space="preserve"> of all, bestowing his riches on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N.T. Wright translates the phrase as “You stand to inherit the promise.”</w:t>
      </w:r>
      <w:r>
        <w:rPr>
          <w:rStyle w:val="FootnoteReference"/>
        </w:rPr>
        <w:footnoteReference w:id="30134"/>
      </w:r>
      <w:r>
        <w:rPr/>
        <w:t xml:space="preserve"> Richard Longenecker gets the sense of the phrase as “heirs of God’s covenantal promise.”</w:t>
      </w:r>
      <w:r>
        <w:rPr>
          <w:rStyle w:val="FootnoteReference"/>
        </w:rPr>
        <w:footnoteReference w:id="30687"/>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FootnoteReference"/>
        </w:rPr>
        <w:footnoteReference w:id="17724"/>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FootnoteReference"/>
        </w:rPr>
        <w:footnoteReference w:id="18096"/>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FootnoteReference"/>
        </w:rPr>
        <w:footnoteReference w:id="20548"/>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Galatians 4:1-5 makes it clear that God made this “adoption” available only after Christ redeemed us by his substitutionary death, which paid for our sins. Thus, this “adoption” was not available until Christ died, and is one thing that sets the Christian Church apart from Israel and people who believed in the Old Testament, such as Abraham and Sarah. They believed God and were declared righteous in God’s sight, but they never received “adoption.” That blessing was not conferred upon believers until after Christ ascended into heaven.</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despite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Word Study: “Pneuma.”]</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FootnoteReference"/>
        </w:rPr>
        <w:footnoteReference w:id="14898"/>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is </w:t>
      </w:r>
      <w:r>
        <w:rPr>
          <w:i/>
          <w:iCs/>
        </w:rPr>
        <w:t xml:space="preserve">eikē</w:t>
      </w:r>
      <w:r>
        <w:rPr/>
        <w:t xml:space="preserve"> (#1500 εἰκῆ), and it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Galatians 4:11. The wording of Galatians 4:11 makes it part of the debate about whether salvation is permanent or if it can be forfeited. In this case, the weight of evidence favors “vain” referring to salvation not being permanent. If salvation is permanent there is no way that the text, reading it literally, can be saying that Paul’s efforts are “in vain,” i.e., “with no results, wasted.” After all, if salvation is permanent, the saved person will be resurrected and will live forever, which clearly would be of benefit to the individual. And so, if salvation was permanent, then it would seem completely mistaken for Paul to say that his work was “in vain.” But the fact that there are eternal consequences to unbelief, Paul makes the sobering claim that if Galatians turn away from the Lord in unbelief, then his work in their life and their prior faith would be for nothing.</w:t>
      </w:r>
    </w:p>
    <w:p>
      <w:pPr>
        <w:pStyle w:val="rNormal"/>
        <w:widowControl w:val="on"/>
        <w:spacing w:before="240" w:after="240" w:line="240" w:lineRule="auto"/>
        <w:ind w:left="0" w:right="0"/>
        <w:jc w:val="left"/>
      </w:pPr>
      <w:r>
        <w:rPr/>
        <w:t xml:space="preserve">To further prove this point, in the context, Paul’s concern is not that the Galatians would stop sinning so that they could earn rewards at the judgment seat, which Paul does teach in other places (cf. 1 Cor. 3:13-15). Rather, Paul’s concern is that they would not become “slaves” to the elemental spirits again (Gal. 4:9). Paul is referring to their previous state when they “did not know God” (Gal. 4:8) and he is encouraging them not to turn away from Christ and backslide back into that earlier state. So, the context of Galatians 4:11 is not about losing or keeping rewards, but about keeping or forfeiting salvation.</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FootnoteReference"/>
        </w:rPr>
        <w:footnoteReference w:id="24961"/>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is not healed himself.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If any part of the Law must be obeyed to be righteous, then the whole Law must be obeyed to be righteous. But the Judaizers and false teachers generally never start by suggesting a person keep the whole Law; instead start out by getting people to give in on one point, and then later on keep pressuring for more. Paul warns about going down the slippery slope to believing in righteousness by works or in being more approved by God by doing works,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FootnoteReference"/>
        </w:rPr>
        <w:footnoteReference w:id="15946"/>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FootnoteReference"/>
        </w:rPr>
        <w:footnoteReference w:id="15328"/>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While “cut yourselves off from” could introduce ambiguity, it best conveys the practical sense of separation.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5:2 he says if a person lets himself be circumcised (“cut off,” so to speak), then he will be cut off from Christ, and thus the work of Christ in freeing us from the Law will be of no effect. The REV makes the verse quite clear and preserves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comes from energeō (#1754 ἐνεργέω) in the middle voice. The middle voice means the action is brought on itself, hence, trust works on itself. This is important because for trust to count, it need not perform works external to itself—trust works itself out.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“working” as being in the passive voice,</w:t>
      </w:r>
      <w:r>
        <w:rPr>
          <w:rStyle w:val="FootnoteReference"/>
        </w:rPr>
        <w:footnoteReference w:id="28273"/>
      </w:r>
      <w:r>
        <w:rPr/>
        <w:t xml:space="preserve"> which would mean that the only thing that matters is trust “having been worked” by love. If this were the case, trust would not be complete in itself but would need love and good works to give it its form. Roman Catholics teach that love is what makes trust work. However, this interpretation does not fit with the context. First, the verse itself is stating that outward works (circumcision) do not count for anything. Second,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FootnoteReference"/>
        </w:rPr>
        <w:footnoteReference w:id="28434"/>
      </w:r>
      <w:r>
        <w:rPr/>
        <w:t xml:space="preserve"> Richard Longenecker concurs with Lenski and says the leaven is the “false theology that was perverting the Galatian church.”</w:t>
      </w:r>
      <w:r>
        <w:rPr>
          <w:rStyle w:val="FootnoteReference"/>
        </w:rPr>
        <w:footnoteReference w:id="30611"/>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“Do not follow the majority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FootnoteReference"/>
        </w:rPr>
        <w:footnoteReference w:id="26090"/>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FootnoteReference"/>
        </w:rPr>
        <w:footnoteReference w:id="28385"/>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Word Study: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FootnoteReference"/>
        </w:rPr>
        <w:footnoteReference w:id="24189"/>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w:t>
      </w:r>
      <w:r>
        <w:rPr>
          <w:rStyle w:val="FootnoteReference"/>
        </w:rPr>
        <w:footnoteReference w:id="15770"/>
      </w:r>
      <w:r>
        <w:rPr/>
        <w:t xml:space="preserve">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FootnoteReference"/>
        </w:rPr>
        <w:footnoteReference w:id="14709"/>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Septuagint]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from sexual immorality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it is even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FootnoteReference"/>
        </w:rPr>
        <w:footnoteReference w:id="14435"/>
      </w:r>
      <w:r>
        <w:rPr/>
        <w:t xml:space="preserve"> “in a moral sense, the impurity of lustful, luxurious, profligate living; used of impure motives in 1 Thess. 2:3.</w:t>
      </w:r>
      <w:r>
        <w:rPr>
          <w:rStyle w:val="FootnoteReference"/>
        </w:rPr>
        <w:footnoteReference w:id="22997"/>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w:t>
      </w:r>
      <w:r>
        <w:rPr>
          <w:rStyle w:val="FootnoteReference"/>
        </w:rPr>
        <w:footnoteReference w:id="22837"/>
      </w:r>
      <w:r>
        <w:rPr/>
        <w:t xml:space="preserve">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are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FootnoteReference"/>
        </w:rPr>
        <w:footnoteReference w:id="22326"/>
      </w:r>
      <w:r>
        <w:rPr/>
        <w:t xml:space="preserve"> The use of drugs in sorcery was to accomplish malevolent ends, not for recreational use. The recreational use of drugs is akin to the recreational use of alcohol and becoming drunk, which is also a work of the flesh (see commentary on Galatians 5:21, “drunkenness”).</w:t>
      </w:r>
    </w:p>
    <w:p>
      <w:pPr>
        <w:pStyle w:val="rNormal"/>
        <w:widowControl w:val="on"/>
        <w:spacing w:before="240" w:after="240" w:line="240" w:lineRule="auto"/>
        <w:ind w:left="0" w:right="0" w:firstLine="1"/>
        <w:jc w:val="left"/>
      </w:pPr>
      <w:r>
        <w:rPr>
          <w:b/>
          <w:bCs/>
        </w:rPr>
        <w:t xml:space="preserve">“hostility.”</w:t>
      </w:r>
      <w:r>
        <w:rPr/>
        <w:t xml:space="preserve"> Hostility, or active hatred, involves ignoring God’s commands to be loving and forgiving. We know that it is possible (and commanded!) to love our enemies, so the person who ignores that command, and ignores the command to forgive, is ignoring the commitment they made to make Christ their Lord. The person who has this burning hatred inside them and makes no effort to control or change it does not have live in the age to come (1 John 3:15).</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FootnoteReference"/>
        </w:rPr>
        <w:footnoteReference w:id="31887"/>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FootnoteReference"/>
        </w:rPr>
        <w:footnoteReference w:id="19229"/>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came to be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were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“those who practice such things.”</w:t>
      </w:r>
      <w:r>
        <w:rPr/>
        <w:t xml:space="preserve"> In this context, the word “practice” means to be deeply involved in something. The phrase that is later in the verse, “will not inherit the Kingdom of God,” means the person will not have everlasting life, and the reason for that is tied to the word “practice.” Everyone sins, in fact it is impossible to live without sinning (cf. Ecc. 7:20; Rom. 3:23). But Galatians 5:19-21 is not speaking about committing occasional sins, or unintentional sins—if that were the case, then very few people would be saved. But Galatians 5:19-21 is speaking about people who “practice” sin, that is, they consciously and consistently make a lifestyle of sin, and by doing that, they go back on their word to make Jesus their Lord and they abandon their trust in him. Those people have no trust in Jesus Christ.</w:t>
      </w:r>
    </w:p>
    <w:p>
      <w:pPr>
        <w:pStyle w:val="rNormal"/>
        <w:widowControl w:val="on"/>
        <w:spacing w:before="240" w:after="240" w:line="240" w:lineRule="auto"/>
        <w:ind w:left="0" w:right="0"/>
        <w:jc w:val="left"/>
      </w:pPr>
      <w:r>
        <w:rPr/>
        <w:t xml:space="preserve">To understand salvation, it is vital to understand the relationship between trust and salvation. Christians are saved by trusting in Christ (Rom. 10:9-10; 3:22, 27-31). But salvation being a result of trust is nothing new. It started in the Garden of Eden with Adam and Eve. Although the word “trust” is not used in the context of their sin and the Fall, what happened was indeed a battle over “who do you trust?” God said not to eat of the tree of the knowledge of good and evil, and if they ate, they would die (Gen. 2:16-17). The Devil said if they ate from the tree, they would NOT die, but instead they would be like God (Gen. 3:4-5). Who did Adam and Eve trust? They abandoned their trust in God and trusted the Devil. They ate from the tree, and the result was death in this life and potential death in the next.</w:t>
      </w:r>
    </w:p>
    <w:p>
      <w:pPr>
        <w:pStyle w:val="rNormal"/>
        <w:widowControl w:val="on"/>
        <w:spacing w:before="240" w:after="240" w:line="240" w:lineRule="auto"/>
        <w:ind w:left="0" w:right="0"/>
        <w:jc w:val="left"/>
      </w:pPr>
      <w:r>
        <w:rPr/>
        <w:t xml:space="preserve">Fast forward some 2,000 years to Abraham. Abraham was a good man, but like all humans, he sinned. But what does the Bible say? “And he believed [or “trusted”] Yahweh, and he credited it to him as righteousness” (Gen. 15:6; cf. Rom. 4:1-3, 9; Gal. 3:6-7). It is important to understand that the Old Testament use of “righteous” is basically equivalent to the New Testament use of “saved.” The Old Testament almost always used “saved” to refer to temporal rescue on this earth—being rescued or delivered from immediate danger—but used “righteous” and “righteousness” to refer to a right standing before God that would result in everlasting life. Thus, the righteous will live on the earth forever (Ps. 37:29), but the wicked will vanish like smoke (Ps. 37:10, 20).</w:t>
      </w:r>
    </w:p>
    <w:p>
      <w:pPr>
        <w:pStyle w:val="rNormal"/>
        <w:widowControl w:val="on"/>
        <w:spacing w:before="240" w:after="240" w:line="240" w:lineRule="auto"/>
        <w:ind w:left="0" w:right="0"/>
        <w:jc w:val="left"/>
      </w:pPr>
      <w:r>
        <w:rPr/>
        <w:t xml:space="preserve">Trusting in God, which is credited to the individual as righteousness that results in everlasting life, is throughout the Bible. The Israelites would be “righteous” (i.e., “saved”) if they were careful to obey the Law (Deut. 6:25). The righteous will stand (i.e., do well) on the Day of Judgment, but the wicked will not (Ps. 1:3-6). The righteous will not be moved (i.e., taken from the earth; Ps. 55:22; 112:6). The righteous are enrolled in the Book of Life (Ps. 69:28). The righteous flourish and are planted in the house of Yahweh (Ps. 92:12, 13). Righteousness delivers from death, meaning everlasting death (Prov. 10:2). The righteous person who continues to live righteously will live forever (Ezek. 3:21). On the Day of Judgment people will see the difference between the righteous and the wicked: the wicked will be burned up while the righteous will be healed (Mal. 3:17-4:2).</w:t>
      </w:r>
    </w:p>
    <w:p>
      <w:pPr>
        <w:pStyle w:val="rNormal"/>
        <w:widowControl w:val="on"/>
        <w:spacing w:before="240" w:after="240" w:line="240" w:lineRule="auto"/>
        <w:ind w:left="0" w:right="0"/>
        <w:jc w:val="left"/>
      </w:pPr>
      <w:r>
        <w:rPr/>
        <w:t xml:space="preserve">As we see from the above Scriptures (and many others that could be referenced), trust in God and Jesus is credited as “righteousness,” which results in everlasting life. Jesus taught his disciples to trust in God and in him (John 14:1). Christians are saved by their trust in Christ, and every day people who have sin in their lives get saved by trusting Christ and taking him as their Lord. No one has to get rid of the sin in their lives before they get saved, and no one can get rid of all the sin in their lives after being saved. People are saved by trust and stay saved by trust, but it is trust in God and Jesus, not trust in yourself that you are “good enough” to be saved. Paul wrote that those who rely on trust are the children of Abraham (Gal. 3:7, 9), and Peter wrote that it is trust that guards us for salvation (1 Pet. 1:5), and that the goal or outcome of trust was salvation (1 Pet. 1:9).</w:t>
      </w:r>
    </w:p>
    <w:p>
      <w:pPr>
        <w:pStyle w:val="rNormal"/>
        <w:widowControl w:val="on"/>
        <w:spacing w:before="240" w:after="240" w:line="240" w:lineRule="auto"/>
        <w:ind w:left="0" w:right="0"/>
        <w:jc w:val="left"/>
      </w:pPr>
      <w:r>
        <w:rPr/>
        <w:t xml:space="preserve">A vital thing to keep in mind when reading lists such as the ones in Galatians 5:19-21; 1 Corinthians 6:9-10; and Ephesians 5:5 is that it is not the sin in and of itself that is the reason for the person forfeiting their salvation and not having an inheritance in the Kingdom of God. In other words, these are not lists that “If you do these works, you will not be saved.” The works are given to illustrate the kinds of things that people who have rejected Christ do. The person first rejects Christ in their heart, and then they practice (make a lifestyle) of sin. If you do not understand that fact, you will get trapped into thinking that people are saved by works. No! A person can reject Christ in their heart and forfeit their salvation, all while looking very religious indeed. The Pharisees and Sadducees looked very religious, but Jesus said they were children of the Devil (John 8:44). Generally, however, if a person rejects Christ in their heart, then they will slip into a lifestyle of godlessness.</w:t>
      </w:r>
    </w:p>
    <w:p>
      <w:pPr>
        <w:pStyle w:val="rNormal"/>
        <w:widowControl w:val="on"/>
        <w:spacing w:before="240" w:after="240" w:line="240" w:lineRule="auto"/>
        <w:ind w:left="0" w:right="0"/>
        <w:jc w:val="left"/>
      </w:pPr>
      <w:r>
        <w:rPr/>
        <w:t xml:space="preserve">It is also important to keep in mind that the heart is always changing. The heart can grow darker and darker, or it can grow more and more full of life and light. The doorway to the heart is the mind. That is why Philippians 4:8 says, “whatever is true, whatever is honorable, whatever is righteous, whatever is pure, whatever is lovely, whatever is admirable, if there is anything virtuous, and if there is anything worthy of praise, think about these things.” What the mind dwells on and the body acts on eventually seeps down into the heart, and the heart changes. The person who does not reject Christ at first, but begins to live a godless lifestyle and think about godless things, may soon find themselves abrogating their trust in Christ to participate in the sensually attractive things of the flesh. Thus, Proverbs says, “More than anything else you protect, guard your heart, because from it </w:t>
      </w:r>
      <w:r>
        <w:rPr>
          <w:i/>
          <w:iCs/>
        </w:rPr>
        <w:t xml:space="preserve">flow</w:t>
      </w:r>
      <w:r>
        <w:rPr/>
        <w:t xml:space="preserve"> the issues of life” (Prov. 4:23).</w:t>
      </w:r>
    </w:p>
    <w:p>
      <w:pPr>
        <w:pStyle w:val="rNormal"/>
        <w:widowControl w:val="on"/>
        <w:spacing w:before="240" w:after="240" w:line="240" w:lineRule="auto"/>
        <w:ind w:left="0" w:right="0"/>
        <w:jc w:val="left"/>
      </w:pPr>
      <w:r>
        <w:rPr/>
        <w:t xml:space="preserve">In the Roman world, as today, many temptations could pull a person away from their trust in Christ and turn them to the practice of sensual pleasures and/or fulfilling the natural desires of the flesh. So Paul says, “I warn you, just as I warned you before,” not to “practice” sin, and in Galatians 5:19-21, Paul gives examples of the kinds of sin that a person can get so caught up in that they abandon their trust in Christ.</w:t>
      </w:r>
    </w:p>
    <w:p>
      <w:pPr>
        <w:pStyle w:val="rNormal"/>
        <w:widowControl w:val="on"/>
        <w:spacing w:before="240" w:after="240" w:line="240" w:lineRule="auto"/>
        <w:ind w:left="0" w:right="0" w:firstLine="1"/>
        <w:jc w:val="left"/>
      </w:pPr>
      <w:r>
        <w:rPr>
          <w:b/>
          <w:bCs/>
        </w:rPr>
        <w:t xml:space="preserve">“will not inherit the Kingdom of God.”</w:t>
      </w:r>
      <w:r>
        <w:rPr/>
        <w:t xml:space="preserve"> The phrase “will not inherit the Kingdom of God” means the person will not have everlasting life. The Greek word translated “inherit” is </w:t>
      </w:r>
      <w:r>
        <w:rPr>
          <w:i/>
          <w:iCs/>
        </w:rPr>
        <w:t xml:space="preserve">klēronomeō</w:t>
      </w:r>
      <w:r>
        <w:rPr/>
        <w:t xml:space="preserve"> (#2816 κληρονομέω), and it means to receive as an inheritance, or to receive a part of an inheritance. We know the meaning of “inherit the Kingdom of God” because that phrase, and others similar to it, are used in other places in the Bible. For example, “inherit the Kingdom” is used in Matthew 25:34 and 1 Corinthians 15:50, and in those places it clearly means to have everlasting life. “The inheritance” is the future earth (cf. Matt. 5:5), which is the Kingdom of God, and God will rule the earth through His vice-regent, the Lord Jesus Christ.</w:t>
      </w:r>
    </w:p>
    <w:p>
      <w:pPr>
        <w:pStyle w:val="rNormal"/>
        <w:widowControl w:val="on"/>
        <w:spacing w:before="240" w:after="240" w:line="240" w:lineRule="auto"/>
        <w:ind w:left="0" w:right="0"/>
        <w:jc w:val="left"/>
      </w:pPr>
      <w:r>
        <w:rPr/>
        <w:t xml:space="preserve">There are many phrases similar to “inherit the Kingdom” that refer to attaining everlasting life, including “inherit life in the age to come” (Matt. 19:29; Mark 10:17; Luke 10:25; 18:18); “inherit salvation” (Heb. 1:14); and “inherit these things,” i.e., the New heaven and earth (Rev. 21:7). Also, “inherit the earth” (Matt. 5:5), which according to the Old Testament prophecies meant inheriting the future earth, which was part of the Kingdom of God (Ps. 37:9-11, 18-20, 34); “inherit the world” (Rom. 4:13); “the inheritance” (Acts 20:32; Col. 3:24); “the promise of the inheritance in the age </w:t>
      </w:r>
      <w:r>
        <w:rPr>
          <w:i/>
          <w:iCs/>
        </w:rPr>
        <w:t xml:space="preserve">to come</w:t>
      </w:r>
      <w:r>
        <w:rPr/>
        <w:t xml:space="preserve">” (Heb. 9:15); “the inheritance of the holy ones” (Col. 1:12); “our [the Christian’s] inheritance” (Eph. 1:14); “His glorious inheritance </w:t>
      </w:r>
      <w:r>
        <w:rPr>
          <w:i/>
          <w:iCs/>
        </w:rPr>
        <w:t xml:space="preserve">that will be shared</w:t>
      </w:r>
      <w:r>
        <w:rPr/>
        <w:t xml:space="preserve"> among the holy ones” (Eph. 1:18); and “an inheritance </w:t>
      </w:r>
      <w:r>
        <w:rPr>
          <w:i/>
          <w:iCs/>
        </w:rPr>
        <w:t xml:space="preserve">that is</w:t>
      </w:r>
      <w:r>
        <w:rPr/>
        <w:t xml:space="preserve"> imperishable and undefiled and unfading” (1 Pet. 1:4). All of these different phrases use the word “inherit” and indicate that “the inheritance” is the future earth that people who have everlasting life will enjoy.</w:t>
      </w:r>
    </w:p>
    <w:p>
      <w:pPr>
        <w:pStyle w:val="rNormal"/>
        <w:widowControl w:val="on"/>
        <w:spacing w:before="240" w:after="240" w:line="240" w:lineRule="auto"/>
        <w:ind w:left="0" w:right="0"/>
        <w:jc w:val="left"/>
      </w:pPr>
      <w:r>
        <w:rPr/>
        <w:t xml:space="preserve">Galatians 5:19-21 is similar to other places in the New Testament that are associated with a person forfeiting their salvation (cf. 1 Cor. 15:2; Gal. 4:11; Col. 1:22-23; 1 Thess. 3:5; 2 Pet. 2:20). It is possible that Galatians has the longest list because it was the first of Paul’s epistles and thus was likely in the hands of later believers who were in Corinth, Colossae, etc. We must keep in mind that Paul is writing this letter to the Galatian church, and therefore to believers, and was warning them that whoever makes a practice of sin (Gal. 5:19-21) will not inherit the Kingdom of God. Paul is encouraging them to “walk by the spirit” (Gal. 5:16) and “keep in step with the spirit” (Gal. 5:25). If Paul had no worries at all that practicing habitual sin could lead some to forfeit their salvation, then it seems he would not have “warned” them about not inheriting the Kingdom of God, so Paul’s warning them implies their ability to forfeit their salvation.</w:t>
      </w:r>
    </w:p>
    <w:p>
      <w:pPr>
        <w:pStyle w:val="rNormal"/>
        <w:widowControl w:val="on"/>
        <w:spacing w:before="240" w:after="240" w:line="240" w:lineRule="auto"/>
        <w:ind w:left="0" w:right="0"/>
        <w:jc w:val="left"/>
      </w:pPr>
      <w:r>
        <w:rPr/>
        <w:t xml:space="preserve">Forfeiting one’s salvation does not happen in the instant a Christian sins; rather, a person would have to lose their trust in Christ, which is demonstrated by “practicing” sin. This is a vital distinction to make. Paul is not saying “sinners” will not be saved, but it is those who make a “practice” of sin who will not be saved. We all sin, and we must never forget that Jesus Christ came to save sinners (1 Tim. 1:15). So, Paul is not contradicting himself by teaching that sin forfeits salvation; rather, he is teaching that unrepentant sin, which is a sign of unbelief, can cause one to forfeit their salvation. People are saved by trust without having to “clean up their act” first (Rom. 10:9), and then their salvation is maintained through trust (1 Pet. 1:5, 9; Gal. 3:6, 7, 9). But it is not trust in oneself; it is trust in Christ and what he did and can do.</w:t>
      </w:r>
    </w:p>
    <w:p>
      <w:pPr>
        <w:pStyle w:val="rNormal"/>
        <w:widowControl w:val="on"/>
        <w:spacing w:before="240" w:after="240" w:line="240" w:lineRule="auto"/>
        <w:ind w:left="0" w:right="0"/>
        <w:jc w:val="left"/>
      </w:pPr>
      <w:r>
        <w:rPr/>
        <w:t xml:space="preserve">True faith is demonstrated by good works (James 2:14-26; Gal. 5:22-23), and conversely, habitual bad works without any good works demonstrate that one is not really trusting in Christ. Galatians 5:21 emphasizes the seriousness of sin. Paul is warning the Galatians that just because they have trusted in Christ and are righteous by that faith, it does not mean they cannot forfeit their salvation by continually practicing sin, because practicing sin demonstrates that one is not truly trusting in Christ. Let us trust in Christ and be saved.</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and/or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FootnoteReference"/>
        </w:rPr>
        <w:footnoteReference w:id="32348"/>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trust in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“You [God] will keep in perfect peace the one whose mind is steadfast, because he trusts in you” (Isa. 26:3).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“restraint.”</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FootnoteReference"/>
        </w:rPr>
        <w:footnoteReference w:id="14906"/>
      </w:r>
      <w:r>
        <w:rPr/>
        <w:t xml:space="preserve"> If there is no “goodness” in the Christian’s life, evil continues without fear of consequences. “Goodness” is usually associated with activity rather than inner nature, although the good actions spring from the good heart: “The good man brings out good things from the good treasure of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FootnoteReference"/>
        </w:rPr>
        <w:footnoteReference w:id="16613"/>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outwardly.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“we must.”</w:t>
      </w:r>
      <w:r>
        <w:rPr/>
        <w:t xml:space="preserve"> The verb στοιχῶμεν (#4748 </w:t>
      </w:r>
      <w:r>
        <w:rPr>
          <w:i/>
          <w:iCs/>
        </w:rPr>
        <w:t xml:space="preserve">stoichōmen</w:t>
      </w:r>
      <w:r>
        <w:rPr/>
        <w:t xml:space="preserve">) is in the subjunctive and is being used to express an exhortation, proposal, or request (commonly called a “hortatory subjunctive”). Paul is claiming that in order for a believer to live by the spirit, it must be matched by their keeping “in step with the spirit.”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FootnoteReference"/>
        </w:rPr>
        <w:footnoteReference w:id="25405"/>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w:t>
      </w:r>
      <w:r>
        <w:rPr>
          <w:rStyle w:val="FootnoteReference"/>
        </w:rPr>
        <w:footnoteReference w:id="1999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FootnoteReference"/>
        </w:rPr>
        <w:footnoteReference w:id="22558"/>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means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FootnoteReference"/>
        </w:rPr>
        <w:footnoteReference w:id="28049"/>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their own load. There are loads that each of us has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FootnoteReference"/>
        </w:rPr>
        <w:footnoteReference w:id="27971"/>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 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 … to be or to make participant, the latter, however, in the sense “to share something with somebody, thereby not making him a fellow with oneself, but </w:t>
      </w:r>
      <w:r>
        <w:rPr>
          <w:i/>
          <w:iCs/>
        </w:rPr>
        <w:t xml:space="preserve">oneself</w:t>
      </w:r>
      <w:r>
        <w:rPr/>
        <w:t xml:space="preserve"> a fellow with </w:t>
      </w:r>
      <w:r>
        <w:rPr>
          <w:i/>
          <w:iCs/>
        </w:rPr>
        <w:t xml:space="preserve">him</w:t>
      </w:r>
      <w:r>
        <w:rPr/>
        <w:t xml:space="preserve">. … The one who instructs has the good things; the one being instructed is to proceed to participate in them, in “all” of them. The riches are with the teacher of the Word, the poverty is with the pupil, and the pupil is to institute “fellowship” with the teacher so that he, the pupil, may be enriched. …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FootnoteReference"/>
        </w:rPr>
        <w:footnoteReference w:id="26598"/>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 The one who is taught should hold fellowship with his teachers in all good things. What the good things are is defined by the context. …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 … into the already discordant atmosphere of the Galatian churches. …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FootnoteReference"/>
        </w:rPr>
        <w:footnoteReference w:id="21217"/>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 … not impart to.”</w:t>
      </w:r>
      <w:r>
        <w:rPr>
          <w:rStyle w:val="FootnoteReference"/>
        </w:rPr>
        <w:footnoteReference w:id="31278"/>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they are unsaved, eventually their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NIV84,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FootnoteReference"/>
        </w:rPr>
        <w:footnoteReference w:id="32419"/>
      </w:r>
    </w:p>
    <w:p>
      <w:pPr>
        <w:numPr>
          <w:ilvl w:val="0"/>
          <w:numId w:val="26076804"/>
        </w:numPr>
        <w:spacing w:before="0" w:after="0" w:line="240" w:lineRule="auto"/>
        <w:rPr/>
      </w:pPr>
      <w:r>
        <w:rPr>
          <w:b/>
          <w:bCs/>
        </w:rPr>
        <w:t xml:space="preserve">a means to determine the quality of someth., </w:t>
      </w:r>
      <w:r>
        <w:rPr>
          <w:b/>
          <w:bCs/>
          <w:i/>
          <w:iCs/>
        </w:rPr>
        <w:t xml:space="preserve">rule, standard</w:t>
      </w:r>
    </w:p>
    <w:p>
      <w:pPr>
        <w:numPr>
          <w:ilvl w:val="0"/>
          <w:numId w:val="26076804"/>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26076804"/>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nor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from past floggings, and there were some parallels in the Greco-Roman world with which people could identify.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that “spirit” can mean such as attitude. It is not our “spirit” that needs grace, we need grace.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346568680f56ad40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434925"/>
      <w:docPartObj>
        <w:docPartGallery w:val="Page Numbers (Bottom of Page)"/>
        <w:docPartUnique/>
      </w:docPartObj>
    </w:sdtPr>
    <w:sdtContent>
      <w:sdt>
        <w:sdtPr>
          <w:id w:val="2891179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277">
    <w:p>
      <w:pPr>
        <w:pStyle w:val="FootnoteText"/>
      </w:pPr>
      <w:r>
        <w:rPr>
          <w:rStyle w:val="FootnoteReference"/>
        </w:rPr>
        <w:footnoteRef/>
      </w:r>
      <w:r>
        <w:t xml:space="preserve">
          <w:r>
            <w:t xml:space="preserve">
              <w:r>
                <w:t xml:space="preserve"> Cf. Kenneth S. Wuest, </w:t>
              </w:r>
              <w:r>
                <w:rPr>
                  <w:i/>
                </w:rPr>
                <w:t xml:space="preserve">New Testament</w:t>
              </w:r>
              <w:r>
                <w:t xml:space="preserve">, “from among the dead,” 439.</w:t>
              </w:r>
            </w:t>
          </w:r>
        </w:t>
      </w:r>
    </w:p>
  </w:footnote>
  <w:footnote w:id="29688">
    <w:p>
      <w:pPr>
        <w:pStyle w:val="FootnoteText"/>
      </w:pPr>
      <w:r>
        <w:rPr>
          <w:rStyle w:val="FootnoteReference"/>
        </w:rPr>
        <w:footnoteRef/>
      </w:r>
      <w:r>
        <w:t xml:space="preserve">
          <w:r>
            <w:t xml:space="preserve">
              <w:r>
                <w:t xml:space="preserve"> Richard N. Longenecker, </w:t>
              </w:r>
              <w:r>
                <w:rPr>
                  <w:i/>
                </w:rPr>
                <w:t xml:space="preserve">Galatians</w:t>
              </w:r>
              <w:r>
                <w:t xml:space="preserve"> [WBC]; F. F. Bruce, </w:t>
              </w:r>
              <w:r>
                <w:rPr>
                  <w:i/>
                </w:rPr>
                <w:t xml:space="preserve">The Epistle to the Galatians</w:t>
              </w:r>
              <w:r>
                <w:t xml:space="preserve"> [NIGTC], 70ff., 136ff.</w:t>
              </w:r>
            </w:t>
          </w:r>
        </w:t>
      </w:r>
    </w:p>
  </w:footnote>
  <w:footnote w:id="28207">
    <w:p>
      <w:pPr>
        <w:pStyle w:val="FootnoteText"/>
      </w:pPr>
      <w:r>
        <w:rPr>
          <w:rStyle w:val="FootnoteReference"/>
        </w:rPr>
        <w:footnoteRef/>
      </w:r>
      <w:r>
        <w:t xml:space="preserve">
          <w:r>
            <w:t xml:space="preserve">
              <w:r>
                <w:t xml:space="preserve"> From the textual note on the NET Bible, 1st ed.</w:t>
              </w:r>
            </w:t>
          </w:r>
        </w:t>
      </w:r>
    </w:p>
  </w:footnote>
  <w:footnote w:id="30273">
    <w:p>
      <w:pPr>
        <w:pStyle w:val="FootnoteText"/>
      </w:pPr>
      <w:r>
        <w:rPr>
          <w:rStyle w:val="FootnoteReference"/>
        </w:rPr>
        <w:footnoteRef/>
      </w:r>
      <w:r>
        <w:t xml:space="preserve">
          <w:r>
            <w:t xml:space="preserve">
              <w:r>
                <w:t xml:space="preserve"> Ernest DeWitt Burton, </w:t>
              </w:r>
              <w:r>
                <w:rPr>
                  <w:i/>
                </w:rPr>
                <w:t xml:space="preserve">The Epistle to the Galatians</w:t>
              </w:r>
              <w:r>
                <w:t xml:space="preserve"> [ICC], 19-20.</w:t>
              </w:r>
            </w:t>
          </w:r>
        </w:t>
      </w:r>
    </w:p>
  </w:footnote>
  <w:footnote w:id="26159">
    <w:p>
      <w:pPr>
        <w:pStyle w:val="FootnoteText"/>
      </w:pPr>
      <w:r>
        <w:rPr>
          <w:rStyle w:val="FootnoteReference"/>
        </w:rPr>
        <w:footnoteRef/>
      </w:r>
      <w:r>
        <w:t xml:space="preserve">
          <w:r>
            <w:t xml:space="preserve">
              <w:r>
                <w:t xml:space="preserve"> BDAG </w:t>
              </w:r>
              <w:r>
                <w:rPr>
                  <w:i/>
                </w:rPr>
                <w:t xml:space="preserve">Greek-English Lexicon</w:t>
              </w:r>
              <w:r>
                <w:t xml:space="preserve">, s.v. “ταράσσω.”</w:t>
              </w:r>
            </w:t>
          </w:r>
        </w:t>
      </w:r>
    </w:p>
  </w:footnote>
  <w:footnote w:id="12400">
    <w:p>
      <w:pPr>
        <w:pStyle w:val="FootnoteText"/>
      </w:pPr>
      <w:r>
        <w:rPr>
          <w:rStyle w:val="FootnoteReference"/>
        </w:rPr>
        <w:footnoteRef/>
      </w:r>
      <w:r>
        <w:t xml:space="preserve">
          <w:r>
            <w:t xml:space="preserve">
              <w:r>
                <w:t xml:space="preserve"> Friberg, </w:t>
              </w:r>
              <w:r>
                <w:rPr>
                  <w:i/>
                </w:rPr>
                <w:t xml:space="preserve">Analytical Lexicon</w:t>
              </w:r>
              <w:r>
                <w:t xml:space="preserve">, s.v. “ταράσσω.”</w:t>
              </w:r>
            </w:t>
          </w:r>
        </w:t>
      </w:r>
    </w:p>
  </w:footnote>
  <w:footnote w:id="15172">
    <w:p>
      <w:pPr>
        <w:pStyle w:val="FootnoteText"/>
      </w:pPr>
      <w:r>
        <w:rPr>
          <w:rStyle w:val="FootnoteReference"/>
        </w:rPr>
        <w:footnoteRef/>
      </w:r>
      <w:r>
        <w:t xml:space="preserve">
          <w:r>
            <w:t xml:space="preserve">
              <w:r>
                <w:t xml:space="preserve"> BDAG, s.v. “μεταστρέφω.”</w:t>
              </w:r>
            </w:t>
          </w:r>
        </w:t>
      </w:r>
    </w:p>
  </w:footnote>
  <w:footnote w:id="23326">
    <w:p>
      <w:pPr>
        <w:pStyle w:val="FootnoteText"/>
      </w:pPr>
      <w:r>
        <w:rPr>
          <w:rStyle w:val="FootnoteReference"/>
        </w:rPr>
        <w:footnoteRef/>
      </w:r>
      <w:r>
        <w:t xml:space="preserve">
          <w:r>
            <w:t xml:space="preserve">
              <w:r>
                <w:t xml:space="preserve"> Friberg, s.v. μεταστρέφω.</w:t>
              </w:r>
            </w:t>
          </w:r>
        </w:t>
      </w:r>
    </w:p>
  </w:footnote>
  <w:footnote w:id="13816">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w:t>
              </w:r>
            </w:t>
          </w:r>
        </w:t>
      </w:r>
    </w:p>
  </w:footnote>
  <w:footnote w:id="30760">
    <w:p>
      <w:pPr>
        <w:pStyle w:val="FootnoteText"/>
      </w:pPr>
      <w:r>
        <w:rPr>
          <w:rStyle w:val="FootnoteReference"/>
        </w:rPr>
        <w:footnoteRef/>
      </w:r>
      <w:r>
        <w:t xml:space="preserve">
          <w:r>
            <w:t xml:space="preserve">
              <w:r>
                <w:t xml:space="preserve"> in some Greek texts; cf. the texts by Lachmann and by Tischendorf.</w:t>
              </w:r>
            </w:t>
          </w:r>
        </w:t>
      </w:r>
    </w:p>
  </w:footnote>
  <w:footnote w:id="29861">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32763">
    <w:p>
      <w:pPr>
        <w:pStyle w:val="FootnoteText"/>
      </w:pPr>
      <w:r>
        <w:rPr>
          <w:rStyle w:val="FootnoteReference"/>
        </w:rPr>
        <w:footnoteRef/>
      </w:r>
      <w:r>
        <w:t xml:space="preserve">
          <w:r>
            <w:t xml:space="preserve">
              <w:r>
                <w:t xml:space="preserve"> Lenski, </w:t>
              </w:r>
              <w:r>
                <w:rPr>
                  <w:i/>
                </w:rPr>
                <w:t xml:space="preserve">The Interpretation of St. Paul’s Epistle to the Galatians</w:t>
              </w:r>
              <w:r>
                <w:t xml:space="preserve">, 43.</w:t>
              </w:r>
            </w:t>
          </w:r>
        </w:t>
      </w:r>
    </w:p>
  </w:footnote>
  <w:footnote w:id="27619">
    <w:p>
      <w:pPr>
        <w:pStyle w:val="FootnoteText"/>
      </w:pPr>
      <w:r>
        <w:rPr>
          <w:rStyle w:val="FootnoteReference"/>
        </w:rPr>
        <w:footnoteRef/>
      </w:r>
      <w:r>
        <w:t xml:space="preserve">
          <w:r>
            <w:t xml:space="preserve">
              <w:r>
                <w:t xml:space="preserve"> Rabbi Judah b. Tema, in Mishnah Avot 5.21, trans. Herbert Danby, The Mishnah (Oxford: Oxford University Press, 1933), 458.</w:t>
              </w:r>
            </w:t>
          </w:r>
        </w:t>
      </w:r>
    </w:p>
  </w:footnote>
  <w:footnote w:id="28765">
    <w:p>
      <w:pPr>
        <w:pStyle w:val="FootnoteText"/>
      </w:pPr>
      <w:r>
        <w:rPr>
          <w:rStyle w:val="FootnoteReference"/>
        </w:rPr>
        <w:footnoteRef/>
      </w:r>
      <w:r>
        <w:t xml:space="preserve">
          <w:r>
            <w:t xml:space="preserve">
              <w:r>
                <w:t xml:space="preserve"> John Mcray, </w:t>
              </w:r>
              <w:r>
                <w:rPr>
                  <w:i/>
                </w:rPr>
                <w:t xml:space="preserve">Paul: his Life and Teaching</w:t>
              </w:r>
              <w:r>
                <w:t xml:space="preserve">, 44-45.</w:t>
              </w:r>
            </w:t>
          </w:r>
        </w:t>
      </w:r>
    </w:p>
  </w:footnote>
  <w:footnote w:id="18220">
    <w:p>
      <w:pPr>
        <w:pStyle w:val="FootnoteText"/>
      </w:pPr>
      <w:r>
        <w:rPr>
          <w:rStyle w:val="FootnoteReference"/>
        </w:rPr>
        <w:footnoteRef/>
      </w:r>
      <w:r>
        <w:t xml:space="preserve">
          <w:r>
            <w:t xml:space="preserve">
              <w:r>
                <w:t xml:space="preserve"> Bullinger, </w:t>
              </w:r>
              <w:r>
                <w:rPr>
                  <w:i/>
                </w:rPr>
                <w:t xml:space="preserve">Figures of Speech</w:t>
              </w:r>
              <w:r>
                <w:t xml:space="preserve">, 478, “interjectio.”</w:t>
              </w:r>
            </w:t>
          </w:r>
        </w:t>
      </w:r>
    </w:p>
  </w:footnote>
  <w:footnote w:id="18448">
    <w:p>
      <w:pPr>
        <w:pStyle w:val="FootnoteText"/>
      </w:pPr>
      <w:r>
        <w:rPr>
          <w:rStyle w:val="FootnoteReference"/>
        </w:rPr>
        <w:footnoteRef/>
      </w:r>
      <w:r>
        <w:t xml:space="preserve">
          <w:r>
            <w:t xml:space="preserve">
              <w:r>
                <w:t xml:space="preserve"> Bullinger, 927, “ecphonesis.”</w:t>
              </w:r>
            </w:t>
          </w:r>
        </w:t>
      </w:r>
    </w:p>
  </w:footnote>
  <w:footnote w:id="16626">
    <w:p>
      <w:pPr>
        <w:pStyle w:val="FootnoteText"/>
      </w:pPr>
      <w:r>
        <w:rPr>
          <w:rStyle w:val="FootnoteReference"/>
        </w:rPr>
        <w:footnoteRef/>
      </w:r>
      <w:r>
        <w:t xml:space="preserve">
          <w:r>
            <w:t xml:space="preserve">
              <w:r>
                <w:t xml:space="preserve"> Bullinger, 926, “asterismos.”</w:t>
              </w:r>
            </w:t>
          </w:r>
        </w:t>
      </w:r>
    </w:p>
  </w:footnote>
  <w:footnote w:id="14525">
    <w:p>
      <w:pPr>
        <w:pStyle w:val="FootnoteText"/>
      </w:pPr>
      <w:r>
        <w:rPr>
          <w:rStyle w:val="FootnoteReference"/>
        </w:rPr>
        <w:footnoteRef/>
      </w:r>
      <w:r>
        <w:t xml:space="preserve">
          <w:r>
            <w:t xml:space="preserve">
              <w:r>
                <w:t xml:space="preserve"> W. Hendriksen, </w:t>
              </w:r>
              <w:r>
                <w:rPr>
                  <w:i/>
                </w:rPr>
                <w:t xml:space="preserve">New Testament Commentary: Galatians</w:t>
              </w:r>
              <w:r>
                <w:t xml:space="preserve">, 77.</w:t>
              </w:r>
            </w:t>
          </w:r>
        </w:t>
      </w:r>
    </w:p>
  </w:footnote>
  <w:footnote w:id="20876">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 118.</w:t>
              </w:r>
            </w:t>
          </w:r>
        </w:t>
      </w:r>
    </w:p>
  </w:footnote>
  <w:footnote w:id="19723">
    <w:p>
      <w:pPr>
        <w:pStyle w:val="FootnoteText"/>
      </w:pPr>
      <w:r>
        <w:rPr>
          <w:rStyle w:val="FootnoteReference"/>
        </w:rPr>
        <w:footnoteRef/>
      </w:r>
      <w:r>
        <w:t xml:space="preserve">
          <w:r>
            <w:t xml:space="preserve">
              <w:r>
                <w:t xml:space="preserve"> R. C. H. Lenski, </w:t>
              </w:r>
              <w:r>
                <w:rPr>
                  <w:i/>
                </w:rPr>
                <w:t xml:space="preserve">St. Paul’s Epistles to the Galatians, Ephesians, and Philippians</w:t>
              </w:r>
              <w:r>
                <w:t xml:space="preserve">, 126.</w:t>
              </w:r>
            </w:t>
          </w:r>
        </w:t>
      </w:r>
    </w:p>
  </w:footnote>
  <w:footnote w:id="13592">
    <w:p>
      <w:pPr>
        <w:pStyle w:val="FootnoteText"/>
      </w:pPr>
      <w:r>
        <w:rPr>
          <w:rStyle w:val="FootnoteReference"/>
        </w:rPr>
        <w:footnoteRef/>
      </w:r>
      <w:r>
        <w:t xml:space="preserve">
          <w:r>
            <w:t xml:space="preserve">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t>
          </w:r>
        </w:t>
      </w:r>
    </w:p>
  </w:footnote>
  <w:footnote w:id="24157">
    <w:p>
      <w:pPr>
        <w:pStyle w:val="FootnoteText"/>
      </w:pPr>
      <w:r>
        <w:rPr>
          <w:rStyle w:val="FootnoteReference"/>
        </w:rPr>
        <w:footnoteRef/>
      </w:r>
      <w:r>
        <w:t xml:space="preserve">
          <w:r>
            <w:t xml:space="preserve">
              <w:r>
                <w:t xml:space="preserve"> Frank E. Gaebelein, Expositor’s Bible Commentary, vol. 10.</w:t>
              </w:r>
            </w:t>
          </w:r>
        </w:t>
      </w:r>
    </w:p>
  </w:footnote>
  <w:footnote w:id="21089">
    <w:p>
      <w:pPr>
        <w:pStyle w:val="FootnoteText"/>
      </w:pPr>
      <w:r>
        <w:rPr>
          <w:rStyle w:val="FootnoteReference"/>
        </w:rPr>
        <w:footnoteRef/>
      </w:r>
      <w:r>
        <w:t xml:space="preserve">
          <w:r>
            <w:t xml:space="preserve">
              <w:r>
                <w:t xml:space="preserve"> James D. G. Dunn, </w:t>
              </w:r>
              <w:r>
                <w:rPr>
                  <w:i/>
                </w:rPr>
                <w:t xml:space="preserve">The Epistle to the Galatians</w:t>
              </w:r>
              <w:r>
                <w:t xml:space="preserve"> [BNTC], 163.</w:t>
              </w:r>
            </w:t>
          </w:r>
        </w:t>
      </w:r>
    </w:p>
  </w:footnote>
  <w:footnote w:id="22235">
    <w:p>
      <w:pPr>
        <w:pStyle w:val="FootnoteText"/>
      </w:pPr>
      <w:r>
        <w:rPr>
          <w:rStyle w:val="FootnoteReference"/>
        </w:rPr>
        <w:footnoteRef/>
      </w:r>
      <w:r>
        <w:t xml:space="preserve">
          <w:r>
            <w:t xml:space="preserve">
              <w:r>
                <w:t xml:space="preserve"> William Hendriksen, </w:t>
              </w:r>
              <w:r>
                <w:rPr>
                  <w:i/>
                </w:rPr>
                <w:t xml:space="preserve">Galatians, Ephesians, Philippians, Colossians, and Philemon,</w:t>
              </w:r>
              <w:r>
                <w:t xml:space="preserve"> 123.</w:t>
              </w:r>
            </w:t>
          </w:r>
        </w:t>
      </w:r>
    </w:p>
  </w:footnote>
  <w:footnote w:id="13366">
    <w:p>
      <w:pPr>
        <w:pStyle w:val="FootnoteText"/>
      </w:pPr>
      <w:r>
        <w:rPr>
          <w:rStyle w:val="FootnoteReference"/>
        </w:rPr>
        <w:footnoteRef/>
      </w:r>
      <w:r>
        <w:t xml:space="preserve">
          <w:r>
            <w:t xml:space="preserve">
              <w:r>
                <w:t xml:space="preserve"> Richard N. Longenecker, </w:t>
              </w:r>
              <w:r>
                <w:rPr>
                  <w:i/>
                </w:rPr>
                <w:t xml:space="preserve">Galatians</w:t>
              </w:r>
              <w:r>
                <w:t xml:space="preserve"> [WBC], 107, 114.</w:t>
              </w:r>
            </w:t>
          </w:r>
        </w:t>
      </w:r>
    </w:p>
  </w:footnote>
  <w:footnote w:id="26840">
    <w:p>
      <w:pPr>
        <w:pStyle w:val="FootnoteText"/>
      </w:pPr>
      <w:r>
        <w:rPr>
          <w:rStyle w:val="FootnoteReference"/>
        </w:rPr>
        <w:footnoteRef/>
      </w:r>
      <w:r>
        <w:t xml:space="preserve">
          <w:r>
            <w:t xml:space="preserve">
              <w:r>
                <w:t xml:space="preserve"> E. Huxtable, “Galatians,” in The Pulpit Commentary: Galatians, Ephesians, Philippians, Colossians[/em], ed. H. D. M. Spence and Joseph S. Exell, vol. 20, 174.</w:t>
              </w:r>
            </w:t>
          </w:r>
        </w:t>
      </w:r>
    </w:p>
  </w:footnote>
  <w:footnote w:id="15992">
    <w:p>
      <w:pPr>
        <w:pStyle w:val="FootnoteText"/>
      </w:pPr>
      <w:r>
        <w:rPr>
          <w:rStyle w:val="FootnoteReference"/>
        </w:rPr>
        <w:footnoteRef/>
      </w:r>
      <w:r>
        <w:t xml:space="preserve">
          <w:r>
            <w:t xml:space="preserve">
              <w:r>
                <w:t xml:space="preserve"> BDAG, s.v. “χάριν,” definiton a.</w:t>
              </w:r>
            </w:t>
          </w:r>
        </w:t>
      </w:r>
    </w:p>
  </w:footnote>
  <w:footnote w:id="21553">
    <w:p>
      <w:pPr>
        <w:pStyle w:val="FootnoteText"/>
      </w:pPr>
      <w:r>
        <w:rPr>
          <w:rStyle w:val="FootnoteReference"/>
        </w:rPr>
        <w:footnoteRef/>
      </w:r>
      <w:r>
        <w:t xml:space="preserve">
          <w:r>
            <w:t xml:space="preserve">
              <w:r>
                <w:t xml:space="preserve"> BDAG, s.v. “χάριν,” definition b.</w:t>
              </w:r>
            </w:t>
          </w:r>
        </w:t>
      </w:r>
    </w:p>
  </w:footnote>
  <w:footnote w:id="14412">
    <w:p>
      <w:pPr>
        <w:pStyle w:val="FootnoteText"/>
      </w:pPr>
      <w:r>
        <w:rPr>
          <w:rStyle w:val="FootnoteReference"/>
        </w:rPr>
        <w:footnoteRef/>
      </w:r>
      <w:r>
        <w:t xml:space="preserve">
          <w:r>
            <w:t xml:space="preserve">
              <w:r>
                <w:t xml:space="preserve"> Cf. Longenecker, </w:t>
              </w:r>
              <w:r>
                <w:rPr>
                  <w:i/>
                </w:rPr>
                <w:t xml:space="preserve">Galatians</w:t>
              </w:r>
              <w:r>
                <w:t xml:space="preserve">, vol. 41 [WBC], 136-39.</w:t>
              </w:r>
            </w:t>
          </w:r>
        </w:t>
      </w:r>
    </w:p>
  </w:footnote>
  <w:footnote w:id="30134">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30687">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17724">
    <w:p>
      <w:pPr>
        <w:pStyle w:val="FootnoteText"/>
      </w:pPr>
      <w:r>
        <w:rPr>
          <w:rStyle w:val="FootnoteReference"/>
        </w:rPr>
        <w:footnoteRef/>
      </w:r>
      <w:r>
        <w:t xml:space="preserve">
          <w:r>
            <w:t xml:space="preserve">
              <w:r>
                <w:t xml:space="preserve"> James Dunn, </w:t>
              </w:r>
              <w:r>
                <w:rPr>
                  <w:i/>
                </w:rPr>
                <w:t xml:space="preserve">Epistle to the Galatians</w:t>
              </w:r>
              <w:r>
                <w:t xml:space="preserve"> [BTNC].</w:t>
              </w:r>
            </w:t>
          </w:r>
        </w:t>
      </w:r>
    </w:p>
  </w:footnote>
  <w:footnote w:id="18096">
    <w:p>
      <w:pPr>
        <w:pStyle w:val="FootnoteText"/>
      </w:pPr>
      <w:r>
        <w:rPr>
          <w:rStyle w:val="FootnoteReference"/>
        </w:rPr>
        <w:footnoteRef/>
      </w:r>
      <w:r>
        <w:t xml:space="preserve">
          <w:r>
            <w:t xml:space="preserve">
              <w:r>
                <w:t xml:space="preserve"> Ann Nyland, </w:t>
              </w:r>
              <w:r>
                <w:rPr>
                  <w:i/>
                </w:rPr>
                <w:t xml:space="preserve">The Source New Testament</w:t>
              </w:r>
              <w:r>
                <w:t xml:space="preserve">, 360n4.</w:t>
              </w:r>
            </w:t>
          </w:r>
        </w:t>
      </w:r>
    </w:p>
  </w:footnote>
  <w:footnote w:id="20548">
    <w:p>
      <w:pPr>
        <w:pStyle w:val="FootnoteText"/>
      </w:pPr>
      <w:r>
        <w:rPr>
          <w:rStyle w:val="FootnoteReference"/>
        </w:rPr>
        <w:footnoteRef/>
      </w:r>
      <w:r>
        <w:t xml:space="preserve">
          <w:r>
            <w:t xml:space="preserve">
              <w:r>
                <w:t xml:space="preserve"> Conybeare, </w:t>
              </w:r>
              <w:r>
                <w:rPr>
                  <w:i/>
                </w:rPr>
                <w:t xml:space="preserve">Life and Epistles of St. Paul</w:t>
              </w:r>
              <w:r>
                <w:t xml:space="preserve">, 10.</w:t>
              </w:r>
            </w:t>
          </w:r>
        </w:t>
      </w:r>
    </w:p>
  </w:footnote>
  <w:footnote w:id="14898">
    <w:p>
      <w:pPr>
        <w:pStyle w:val="FootnoteText"/>
      </w:pPr>
      <w:r>
        <w:rPr>
          <w:rStyle w:val="FootnoteReference"/>
        </w:rPr>
        <w:footnoteRef/>
      </w:r>
      <w:r>
        <w:t xml:space="preserve">
          <w:r>
            <w:t xml:space="preserve">
              <w:r>
                <w:t xml:space="preserve"> Kenneth S. Wuest, </w:t>
              </w:r>
              <w:r>
                <w:rPr>
                  <w:i/>
                </w:rPr>
                <w:t xml:space="preserve">Word Studies: Galatians</w:t>
              </w:r>
              <w:r>
                <w:t xml:space="preserve">, 118.</w:t>
              </w:r>
            </w:t>
          </w:r>
        </w:t>
      </w:r>
    </w:p>
  </w:footnote>
  <w:footnote w:id="24961">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218.</w:t>
              </w:r>
            </w:t>
          </w:r>
        </w:t>
      </w:r>
    </w:p>
  </w:footnote>
  <w:footnote w:id="15946">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4:309.</w:t>
              </w:r>
            </w:t>
          </w:r>
        </w:t>
      </w:r>
    </w:p>
  </w:footnote>
  <w:footnote w:id="15328">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257.</w:t>
              </w:r>
            </w:t>
          </w:r>
        </w:t>
      </w:r>
    </w:p>
  </w:footnote>
  <w:footnote w:id="28273">
    <w:p>
      <w:pPr>
        <w:pStyle w:val="FootnoteText"/>
      </w:pPr>
      <w:r>
        <w:rPr>
          <w:rStyle w:val="FootnoteReference"/>
        </w:rPr>
        <w:footnoteRef/>
      </w:r>
      <w:r>
        <w:t xml:space="preserve">
          <w:r>
            <w:t xml:space="preserve">
              <w:r>
                <w:t xml:space="preserve"> See discussion in Lenski, </w:t>
              </w:r>
              <w:r>
                <w:rPr>
                  <w:i/>
                </w:rPr>
                <w:t xml:space="preserve">St. Paul’s Epistle to the Galatians</w:t>
              </w:r>
              <w:r>
                <w:t xml:space="preserve">, 261-63.</w:t>
              </w:r>
            </w:t>
          </w:r>
        </w:t>
      </w:r>
    </w:p>
  </w:footnote>
  <w:footnote w:id="28434">
    <w:p>
      <w:pPr>
        <w:pStyle w:val="FootnoteText"/>
      </w:pPr>
      <w:r>
        <w:rPr>
          <w:rStyle w:val="FootnoteReference"/>
        </w:rPr>
        <w:footnoteRef/>
      </w:r>
      <w:r>
        <w:t xml:space="preserve">
          <w:r>
            <w:t xml:space="preserve">
              <w:r>
                <w:t xml:space="preserve"> Lenski, </w:t>
              </w:r>
              <w:r>
                <w:rPr>
                  <w:i/>
                </w:rPr>
                <w:t xml:space="preserve">St. Paul’s Epistle to the Galatians</w:t>
              </w:r>
              <w:r>
                <w:t xml:space="preserve">, 266-67.</w:t>
              </w:r>
            </w:t>
          </w:r>
        </w:t>
      </w:r>
    </w:p>
  </w:footnote>
  <w:footnote w:id="30611">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26090">
    <w:p>
      <w:pPr>
        <w:pStyle w:val="FootnoteText"/>
      </w:pPr>
      <w:r>
        <w:rPr>
          <w:rStyle w:val="FootnoteReference"/>
        </w:rPr>
        <w:footnoteRef/>
      </w:r>
      <w:r>
        <w:t xml:space="preserve">
          <w:r>
            <w:t xml:space="preserve">
              <w:r>
                <w:t xml:space="preserve"> F. F. Bruce, </w:t>
              </w:r>
              <w:r>
                <w:rPr>
                  <w:i/>
                </w:rPr>
                <w:t xml:space="preserve">The Epistle to the Galatians</w:t>
              </w:r>
              <w:r>
                <w:t xml:space="preserve"> [NIGTC], 379.</w:t>
              </w:r>
            </w:t>
          </w:r>
        </w:t>
      </w:r>
    </w:p>
  </w:footnote>
  <w:footnote w:id="28385">
    <w:p>
      <w:pPr>
        <w:pStyle w:val="FootnoteText"/>
      </w:pPr>
      <w:r>
        <w:rPr>
          <w:rStyle w:val="FootnoteReference"/>
        </w:rPr>
        <w:footnoteRef/>
      </w:r>
      <w:r>
        <w:t xml:space="preserve">
          <w:r>
            <w:t xml:space="preserve">
              <w:r>
                <w:t xml:space="preserve"> Cf. </w:t>
              </w:r>
              <w:r>
                <w:rPr>
                  <w:i/>
                </w:rPr>
                <w:t xml:space="preserve">Thayer’s Greek-English Lexicon</w:t>
              </w:r>
              <w:r>
                <w:t xml:space="preserve">, s.v. “περιπατέω.”</w:t>
              </w:r>
            </w:t>
          </w:r>
        </w:t>
      </w:r>
    </w:p>
  </w:footnote>
  <w:footnote w:id="24189">
    <w:p>
      <w:pPr>
        <w:pStyle w:val="FootnoteText"/>
      </w:pPr>
      <w:r>
        <w:rPr>
          <w:rStyle w:val="FootnoteReference"/>
        </w:rPr>
        <w:footnoteRef/>
      </w:r>
      <w:r>
        <w:t xml:space="preserve">
          <w:r>
            <w:t xml:space="preserve">
              <w:r>
                <w:t xml:space="preserve"> Bullinger, </w:t>
              </w:r>
              <w:r>
                <w:rPr>
                  <w:i/>
                </w:rPr>
                <w:t xml:space="preserve">The Giver and His Gifts</w:t>
              </w:r>
              <w:r>
                <w:t xml:space="preserve">, 18.</w:t>
              </w:r>
            </w:t>
          </w:r>
        </w:t>
      </w:r>
    </w:p>
  </w:footnote>
  <w:footnote w:id="15770">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284.</w:t>
              </w:r>
            </w:t>
          </w:r>
        </w:t>
      </w:r>
    </w:p>
  </w:footnote>
  <w:footnote w:id="14709">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w:t>
              </w:r>
            </w:t>
          </w:r>
        </w:t>
      </w:r>
    </w:p>
  </w:footnote>
  <w:footnote w:id="14435">
    <w:p>
      <w:pPr>
        <w:pStyle w:val="FootnoteText"/>
      </w:pPr>
      <w:r>
        <w:rPr>
          <w:rStyle w:val="FootnoteReference"/>
        </w:rPr>
        <w:footnoteRef/>
      </w:r>
      <w:r>
        <w:t xml:space="preserve">
          <w:r>
            <w:t xml:space="preserve">
              <w:r>
                <w:t xml:space="preserve"> BDAG, s.v. “ἀκαθαρσία.”</w:t>
              </w:r>
            </w:t>
          </w:r>
        </w:t>
      </w:r>
    </w:p>
  </w:footnote>
  <w:footnote w:id="22997">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22837">
    <w:p>
      <w:pPr>
        <w:pStyle w:val="FootnoteText"/>
      </w:pPr>
      <w:r>
        <w:rPr>
          <w:rStyle w:val="FootnoteReference"/>
        </w:rPr>
        <w:footnoteRef/>
      </w:r>
      <w:r>
        <w:t xml:space="preserve">
          <w:r>
            <w:t xml:space="preserve">
              <w:r>
                <w:t xml:space="preserve"> Lenski, </w:t>
              </w:r>
              <w:r>
                <w:rPr>
                  <w:i/>
                </w:rPr>
                <w:t xml:space="preserve">Galatians</w:t>
              </w:r>
              <w:r>
                <w:t xml:space="preserve">, 284.</w:t>
              </w:r>
            </w:t>
          </w:r>
        </w:t>
      </w:r>
    </w:p>
  </w:footnote>
  <w:footnote w:id="22326">
    <w:p>
      <w:pPr>
        <w:pStyle w:val="FootnoteText"/>
      </w:pPr>
      <w:r>
        <w:rPr>
          <w:rStyle w:val="FootnoteReference"/>
        </w:rPr>
        <w:footnoteRef/>
      </w:r>
      <w:r>
        <w:t xml:space="preserve">
          <w:r>
            <w:t xml:space="preserve">
              <w:r>
                <w:t xml:space="preserve"> Merrill Unger, </w:t>
              </w:r>
              <w:r>
                <w:rPr>
                  <w:i/>
                </w:rPr>
                <w:t xml:space="preserve">Biblical Demonology</w:t>
              </w:r>
              <w:r>
                <w:t xml:space="preserve">, 108.</w:t>
              </w:r>
            </w:t>
          </w:r>
        </w:t>
      </w:r>
    </w:p>
  </w:footnote>
  <w:footnote w:id="31887">
    <w:p>
      <w:pPr>
        <w:pStyle w:val="FootnoteText"/>
      </w:pPr>
      <w:r>
        <w:rPr>
          <w:rStyle w:val="FootnoteReference"/>
        </w:rPr>
        <w:footnoteRef/>
      </w:r>
      <w:r>
        <w:t xml:space="preserve">
          <w:r>
            <w:t xml:space="preserve">
              <w:r>
                <w:t xml:space="preserve"> BDAG, s.v. “ἐριθεία.”</w:t>
              </w:r>
            </w:t>
          </w:r>
        </w:t>
      </w:r>
    </w:p>
  </w:footnote>
  <w:footnote w:id="19229">
    <w:p>
      <w:pPr>
        <w:pStyle w:val="FootnoteText"/>
      </w:pPr>
      <w:r>
        <w:rPr>
          <w:rStyle w:val="FootnoteReference"/>
        </w:rPr>
        <w:footnoteRef/>
      </w:r>
      <w:r>
        <w:t xml:space="preserve">
          <w:r>
            <w:t xml:space="preserve">
              <w:r>
                <w:t xml:space="preserve"> Bruce M. Metzger, </w:t>
              </w:r>
              <w:r>
                <w:rPr>
                  <w:i/>
                </w:rPr>
                <w:t xml:space="preserve">Textual Commentary </w:t>
              </w:r>
              <w:r>
                <w:t xml:space="preserve">, 597-98.</w:t>
              </w:r>
            </w:t>
          </w:r>
        </w:t>
      </w:r>
    </w:p>
  </w:footnote>
  <w:footnote w:id="32348">
    <w:p>
      <w:pPr>
        <w:pStyle w:val="FootnoteText"/>
      </w:pPr>
      <w:r>
        <w:rPr>
          <w:rStyle w:val="FootnoteReference"/>
        </w:rPr>
        <w:footnoteRef/>
      </w:r>
      <w:r>
        <w:t xml:space="preserve">
          <w:r>
            <w:t xml:space="preserve">
              <w:r>
                <w:t xml:space="preserve"> Bullinger, </w:t>
              </w:r>
              <w:r>
                <w:rPr>
                  <w:i/>
                </w:rPr>
                <w:t xml:space="preserve">Figures of Speech</w:t>
              </w:r>
              <w:r>
                <w:t xml:space="preserve">, 137-148, “asyndeton.”</w:t>
              </w:r>
            </w:t>
          </w:r>
        </w:t>
      </w:r>
    </w:p>
  </w:footnote>
  <w:footnote w:id="14906">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235.</w:t>
              </w:r>
            </w:t>
          </w:r>
        </w:t>
      </w:r>
    </w:p>
  </w:footnote>
  <w:footnote w:id="16613">
    <w:p>
      <w:pPr>
        <w:pStyle w:val="FootnoteText"/>
      </w:pPr>
      <w:r>
        <w:rPr>
          <w:rStyle w:val="FootnoteReference"/>
        </w:rPr>
        <w:footnoteRef/>
      </w:r>
      <w:r>
        <w:t xml:space="preserve">
          <w:r>
            <w:t xml:space="preserve">
              <w:r>
                <w:t xml:space="preserve"> Kittel, </w:t>
              </w:r>
              <w:r>
                <w:rPr>
                  <w:i/>
                </w:rPr>
                <w:t xml:space="preserve">Theological Dictionary</w:t>
              </w:r>
              <w:r>
                <w:t xml:space="preserve">, s.v. “self-control.”</w:t>
              </w:r>
            </w:t>
          </w:r>
        </w:t>
      </w:r>
    </w:p>
  </w:footnote>
  <w:footnote w:id="25405">
    <w:p>
      <w:pPr>
        <w:pStyle w:val="FootnoteText"/>
      </w:pPr>
      <w:r>
        <w:rPr>
          <w:rStyle w:val="FootnoteReference"/>
        </w:rPr>
        <w:footnoteRef/>
      </w:r>
      <w:r>
        <w:t xml:space="preserve">
          <w:r>
            <w:t xml:space="preserve">
              <w:r>
                <w:t xml:space="preserve"> BDAG, s.v. “στοιχέω.”</w:t>
              </w:r>
            </w:t>
          </w:r>
        </w:t>
      </w:r>
    </w:p>
  </w:footnote>
  <w:footnote w:id="19991">
    <w:p>
      <w:pPr>
        <w:pStyle w:val="FootnoteText"/>
      </w:pPr>
      <w:r>
        <w:rPr>
          <w:rStyle w:val="FootnoteReference"/>
        </w:rPr>
        <w:footnoteRef/>
      </w:r>
      <w:r>
        <w:t xml:space="preserve">
          <w:r>
            <w:t xml:space="preserve">
              <w:r>
                <w:t xml:space="preserve"> Thayer.</w:t>
              </w:r>
            </w:t>
          </w:r>
        </w:t>
      </w:r>
    </w:p>
  </w:footnote>
  <w:footnote w:id="22558">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297.</w:t>
              </w:r>
            </w:t>
          </w:r>
        </w:t>
      </w:r>
    </w:p>
  </w:footnote>
  <w:footnote w:id="28049">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“βάρος.”</w:t>
              </w:r>
            </w:t>
          </w:r>
        </w:t>
      </w:r>
    </w:p>
  </w:footnote>
  <w:footnote w:id="27971">
    <w:p>
      <w:pPr>
        <w:pStyle w:val="FootnoteText"/>
      </w:pPr>
      <w:r>
        <w:rPr>
          <w:rStyle w:val="FootnoteReference"/>
        </w:rPr>
        <w:footnoteRef/>
      </w:r>
      <w:r>
        <w:t xml:space="preserve">
          <w:r>
            <w:t xml:space="preserve">
              <w:r>
                <w:t xml:space="preserve"> W. R. Nicoll, </w:t>
              </w:r>
              <w:r>
                <w:rPr>
                  <w:i/>
                </w:rPr>
                <w:t xml:space="preserve">Expositor’s Greek Testament</w:t>
              </w:r>
              <w:r>
                <w:t xml:space="preserve">, 3:189.</w:t>
              </w:r>
            </w:t>
          </w:r>
        </w:t>
      </w:r>
    </w:p>
  </w:footnote>
  <w:footnote w:id="26598">
    <w:p>
      <w:pPr>
        <w:pStyle w:val="FootnoteText"/>
      </w:pPr>
      <w:r>
        <w:rPr>
          <w:rStyle w:val="FootnoteReference"/>
        </w:rPr>
        <w:footnoteRef/>
      </w:r>
      <w:r>
        <w:t xml:space="preserve">
          <w:r>
            <w:t xml:space="preserve">
              <w:r>
                <w:t xml:space="preserve"> Lenski, </w:t>
              </w:r>
              <w:r>
                <w:rPr>
                  <w:i/>
                </w:rPr>
                <w:t xml:space="preserve">St. Paul’s Epistle to the Galatians</w:t>
              </w:r>
              <w:r>
                <w:t xml:space="preserve">, 302-304.</w:t>
              </w:r>
            </w:t>
          </w:r>
        </w:t>
      </w:r>
    </w:p>
  </w:footnote>
  <w:footnote w:id="21217">
    <w:p>
      <w:pPr>
        <w:pStyle w:val="FootnoteText"/>
      </w:pPr>
      <w:r>
        <w:rPr>
          <w:rStyle w:val="FootnoteReference"/>
        </w:rPr>
        <w:footnoteRef/>
      </w:r>
      <w:r>
        <w:t xml:space="preserve">
          <w:r>
            <w:t xml:space="preserve">
              <w:r>
                <w:t xml:space="preserve"> Wuest, </w:t>
              </w:r>
              <w:r>
                <w:rPr>
                  <w:i/>
                </w:rPr>
                <w:t xml:space="preserve">Word Studies: Galatians</w:t>
              </w:r>
              <w:r>
                <w:t xml:space="preserve">, 169-171.</w:t>
              </w:r>
            </w:t>
          </w:r>
        </w:t>
      </w:r>
    </w:p>
  </w:footnote>
  <w:footnote w:id="31278">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4:174, s.v. “κοινωνέω.”</w:t>
              </w:r>
            </w:t>
          </w:r>
        </w:t>
      </w:r>
    </w:p>
  </w:footnote>
  <w:footnote w:id="32419">
    <w:p>
      <w:pPr>
        <w:pStyle w:val="FootnoteText"/>
      </w:pPr>
      <w:r>
        <w:rPr>
          <w:rStyle w:val="FootnoteReference"/>
        </w:rPr>
        <w:footnoteRef/>
      </w:r>
      <w:r>
        <w:t xml:space="preserve">
          <w:r>
            <w:t xml:space="preserve">
              <w:r>
                <w:t xml:space="preserve"> Cf. BDAG, s.v. “κανών.”</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076804">
    <w:multiLevelType w:val="hybridMultilevel"/>
    <w:lvl w:ilvl="0" w:tplc="97155468">
      <w:start w:val="1"/>
      <w:numFmt w:val="decimal"/>
      <w:lvlText w:val="%1."/>
      <w:lvlJc w:val="left"/>
      <w:pPr>
        <w:ind w:left="720" w:hanging="360"/>
      </w:pPr>
    </w:lvl>
    <w:lvl w:ilvl="1" w:tplc="97155468" w:tentative="1">
      <w:start w:val="1"/>
      <w:numFmt w:val="lowerLetter"/>
      <w:lvlText w:val="%2."/>
      <w:lvlJc w:val="left"/>
      <w:pPr>
        <w:ind w:left="1440" w:hanging="360"/>
      </w:pPr>
    </w:lvl>
    <w:lvl w:ilvl="2" w:tplc="97155468" w:tentative="1">
      <w:start w:val="1"/>
      <w:numFmt w:val="lowerRoman"/>
      <w:lvlText w:val="%3."/>
      <w:lvlJc w:val="right"/>
      <w:pPr>
        <w:ind w:left="2160" w:hanging="180"/>
      </w:pPr>
    </w:lvl>
    <w:lvl w:ilvl="3" w:tplc="97155468" w:tentative="1">
      <w:start w:val="1"/>
      <w:numFmt w:val="decimal"/>
      <w:lvlText w:val="%4."/>
      <w:lvlJc w:val="left"/>
      <w:pPr>
        <w:ind w:left="2880" w:hanging="360"/>
      </w:pPr>
    </w:lvl>
    <w:lvl w:ilvl="4" w:tplc="97155468" w:tentative="1">
      <w:start w:val="1"/>
      <w:numFmt w:val="lowerLetter"/>
      <w:lvlText w:val="%5."/>
      <w:lvlJc w:val="left"/>
      <w:pPr>
        <w:ind w:left="3600" w:hanging="360"/>
      </w:pPr>
    </w:lvl>
    <w:lvl w:ilvl="5" w:tplc="97155468" w:tentative="1">
      <w:start w:val="1"/>
      <w:numFmt w:val="lowerRoman"/>
      <w:lvlText w:val="%6."/>
      <w:lvlJc w:val="right"/>
      <w:pPr>
        <w:ind w:left="4320" w:hanging="180"/>
      </w:pPr>
    </w:lvl>
    <w:lvl w:ilvl="6" w:tplc="97155468" w:tentative="1">
      <w:start w:val="1"/>
      <w:numFmt w:val="decimal"/>
      <w:lvlText w:val="%7."/>
      <w:lvlJc w:val="left"/>
      <w:pPr>
        <w:ind w:left="5040" w:hanging="360"/>
      </w:pPr>
    </w:lvl>
    <w:lvl w:ilvl="7" w:tplc="97155468" w:tentative="1">
      <w:start w:val="1"/>
      <w:numFmt w:val="lowerLetter"/>
      <w:lvlText w:val="%8."/>
      <w:lvlJc w:val="left"/>
      <w:pPr>
        <w:ind w:left="5760" w:hanging="360"/>
      </w:pPr>
    </w:lvl>
    <w:lvl w:ilvl="8" w:tplc="97155468" w:tentative="1">
      <w:start w:val="1"/>
      <w:numFmt w:val="lowerRoman"/>
      <w:lvlText w:val="%9."/>
      <w:lvlJc w:val="right"/>
      <w:pPr>
        <w:ind w:left="6480" w:hanging="180"/>
      </w:pPr>
    </w:lvl>
  </w:abstractNum>
  <w:abstractNum w:abstractNumId="26076803">
    <w:multiLevelType w:val="hybridMultilevel"/>
    <w:lvl w:ilvl="0" w:tplc="87919100">
      <w:start w:val="1"/>
      <w:numFmt w:val="decimal"/>
      <w:lvlText w:val="%1."/>
      <w:lvlJc w:val="left"/>
      <w:pPr>
        <w:ind w:left="720" w:hanging="360"/>
      </w:pPr>
    </w:lvl>
    <w:lvl w:ilvl="1" w:tplc="87919100" w:tentative="1">
      <w:start w:val="1"/>
      <w:numFmt w:val="lowerLetter"/>
      <w:lvlText w:val="%2."/>
      <w:lvlJc w:val="left"/>
      <w:pPr>
        <w:ind w:left="1440" w:hanging="360"/>
      </w:pPr>
    </w:lvl>
    <w:lvl w:ilvl="2" w:tplc="87919100" w:tentative="1">
      <w:start w:val="1"/>
      <w:numFmt w:val="lowerRoman"/>
      <w:lvlText w:val="%3."/>
      <w:lvlJc w:val="right"/>
      <w:pPr>
        <w:ind w:left="2160" w:hanging="180"/>
      </w:pPr>
    </w:lvl>
    <w:lvl w:ilvl="3" w:tplc="87919100" w:tentative="1">
      <w:start w:val="1"/>
      <w:numFmt w:val="decimal"/>
      <w:lvlText w:val="%4."/>
      <w:lvlJc w:val="left"/>
      <w:pPr>
        <w:ind w:left="2880" w:hanging="360"/>
      </w:pPr>
    </w:lvl>
    <w:lvl w:ilvl="4" w:tplc="87919100" w:tentative="1">
      <w:start w:val="1"/>
      <w:numFmt w:val="lowerLetter"/>
      <w:lvlText w:val="%5."/>
      <w:lvlJc w:val="left"/>
      <w:pPr>
        <w:ind w:left="3600" w:hanging="360"/>
      </w:pPr>
    </w:lvl>
    <w:lvl w:ilvl="5" w:tplc="87919100" w:tentative="1">
      <w:start w:val="1"/>
      <w:numFmt w:val="lowerRoman"/>
      <w:lvlText w:val="%6."/>
      <w:lvlJc w:val="right"/>
      <w:pPr>
        <w:ind w:left="4320" w:hanging="180"/>
      </w:pPr>
    </w:lvl>
    <w:lvl w:ilvl="6" w:tplc="87919100" w:tentative="1">
      <w:start w:val="1"/>
      <w:numFmt w:val="decimal"/>
      <w:lvlText w:val="%7."/>
      <w:lvlJc w:val="left"/>
      <w:pPr>
        <w:ind w:left="5040" w:hanging="360"/>
      </w:pPr>
    </w:lvl>
    <w:lvl w:ilvl="7" w:tplc="87919100" w:tentative="1">
      <w:start w:val="1"/>
      <w:numFmt w:val="lowerLetter"/>
      <w:lvlText w:val="%8."/>
      <w:lvlJc w:val="left"/>
      <w:pPr>
        <w:ind w:left="5760" w:hanging="360"/>
      </w:pPr>
    </w:lvl>
    <w:lvl w:ilvl="8" w:tplc="87919100" w:tentative="1">
      <w:start w:val="1"/>
      <w:numFmt w:val="lowerRoman"/>
      <w:lvlText w:val="%9."/>
      <w:lvlJc w:val="right"/>
      <w:pPr>
        <w:ind w:left="6480" w:hanging="180"/>
      </w:pPr>
    </w:lvl>
  </w:abstractNum>
  <w:abstractNum w:abstractNumId="31338">
    <w:multiLevelType w:val="hybridMultilevel"/>
    <w:lvl w:ilvl="0" w:tplc="512218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338">
    <w:abstractNumId w:val="31338"/>
  </w:num>
  <w:num w:numId="26076803">
    <w:abstractNumId w:val="26076803"/>
  </w:num>
  <w:num w:numId="26076804">
    <w:abstractNumId w:val="260768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9723552" Type="http://schemas.openxmlformats.org/officeDocument/2006/relationships/numbering" Target="numbering.xml"/><Relationship Id="rId132997922" Type="http://schemas.openxmlformats.org/officeDocument/2006/relationships/comments" Target="comments.xml"/><Relationship Id="rId346568680f56ad4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