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17156"/>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places,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FootnoteReference"/>
        </w:rPr>
        <w:footnoteReference w:id="15561"/>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FootnoteReference"/>
        </w:rPr>
        <w:footnoteReference w:id="13995"/>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FootnoteReference"/>
        </w:rPr>
        <w:footnoteReference w:id="20201"/>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FootnoteReference"/>
        </w:rPr>
        <w:footnoteReference w:id="30059"/>
      </w:r>
      <w:r>
        <w:rPr/>
        <w:t xml:space="preserve"> we also were claimed as </w:t>
      </w:r>
      <w:r>
        <w:rPr>
          <w:i/>
          <w:iCs/>
        </w:rPr>
        <w:t xml:space="preserve">God’s</w:t>
      </w:r>
      <w:r>
        <w:rPr/>
        <w:t xml:space="preserve"> possession because we were chosen in advance according to the plan of the one who is working all things according to the purpose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FootnoteReference"/>
        </w:rPr>
        <w:footnoteReference w:id="19672"/>
      </w:r>
      <w:r>
        <w:rPr/>
        <w:t xml:space="preserve"> you also, when you heard the message of truth—the good news of your salvation—and when you believed in him,</w:t>
      </w:r>
      <w:r>
        <w:rPr>
          <w:rStyle w:val="FootnoteReference"/>
        </w:rPr>
        <w:footnoteReference w:id="30647"/>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FootnoteReference"/>
        </w:rPr>
        <w:footnoteReference w:id="30830"/>
      </w:r>
      <w:r>
        <w:rPr/>
        <w:t xml:space="preserve"> what are the riches of His glorious inheritance</w:t>
      </w:r>
      <w:r>
        <w:rPr>
          <w:rStyle w:val="FootnoteReference"/>
        </w:rPr>
        <w:footnoteReference w:id="28223"/>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places,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w:t>
      </w:r>
      <w:r>
        <w:rPr>
          <w:rStyle w:val="FootnoteReference"/>
        </w:rPr>
        <w:footnoteReference w:id="24351"/>
      </w:r>
      <w:r>
        <w:rPr/>
        <w:t xml:space="preserve">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FootnoteReference"/>
        </w:rPr>
        <w:footnoteReference w:id="17540"/>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FootnoteReference"/>
        </w:rPr>
        <w:footnoteReference w:id="14829"/>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FootnoteReference"/>
        </w:rPr>
        <w:footnoteReference w:id="15811"/>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FootnoteReference"/>
        </w:rPr>
        <w:footnoteReference w:id="27317"/>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FootnoteReference"/>
        </w:rPr>
        <w:footnoteReference w:id="18446"/>
      </w:r>
      <w:r>
        <w:rPr/>
        <w:t xml:space="preserve"> you also are being built together into a place where God dwells</w:t>
      </w:r>
      <w:r>
        <w:rPr>
          <w:rStyle w:val="FootnoteReference"/>
        </w:rPr>
        <w:footnoteReference w:id="24217"/>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FootnoteReference"/>
        </w:rPr>
        <w:footnoteReference w:id="32306"/>
      </w:r>
      <w:r>
        <w:rPr/>
        <w:t xml:space="preserve"> Jesus</w:t>
      </w:r>
      <w:r>
        <w:rPr>
          <w:rStyle w:val="FootnoteReference"/>
        </w:rPr>
        <w:footnoteReference w:id="30352"/>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FootnoteReference"/>
        </w:rPr>
        <w:footnoteReference w:id="12882"/>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places.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FootnoteReference"/>
        </w:rPr>
        <w:footnoteReference w:id="11944"/>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FootnoteReference"/>
        </w:rPr>
        <w:footnoteReference w:id="25764"/>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which comes from the spirit by </w:t>
      </w:r>
      <w:r>
        <w:rPr>
          <w:i/>
          <w:iCs/>
        </w:rPr>
        <w:t xml:space="preserve">keeping</w:t>
      </w:r>
      <w:r>
        <w:rPr/>
        <w:t xml:space="preserve">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FootnoteReference"/>
        </w:rPr>
        <w:footnoteReference w:id="21150"/>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FootnoteReference"/>
        </w:rPr>
        <w:footnoteReference w:id="13070"/>
      </w:r>
      <w:r>
        <w:rPr/>
        <w:t xml:space="preserve"> </w:t>
      </w:r>
      <w:r>
        <w:rPr>
          <w:rStyle w:val="rSupStyle"/>
          <w:vertAlign w:val="superscript"/>
        </w:rPr>
        <w:t xml:space="preserve">8</w:t>
      </w:r>
      <w:r>
        <w:rPr/>
        <w:t xml:space="preserve">This is why it says, </w:t>
      </w:r>
      <w:r>
        <w:rPr>
          <w:rStyle w:val="rOTQuote"/>
        </w:rPr>
        <w:t xml:space="preserve">When he ascended on high, he took captives,</w:t>
      </w:r>
      <w:r>
        <w:rPr>
          <w:rStyle w:val="FootnoteReference"/>
        </w:rPr>
        <w:footnoteReference w:id="23171"/>
      </w:r>
      <w:r>
        <w:rPr/>
        <w:t xml:space="preserve"> </w:t>
      </w:r>
      <w:r>
        <w:rPr>
          <w:rStyle w:val="rOTQuote"/>
          <w:i/>
          <w:iCs/>
        </w:rPr>
        <w:t xml:space="preserve">and</w:t>
      </w:r>
      <w:r>
        <w:rPr>
          <w:rStyle w:val="rOTQuote"/>
        </w:rPr>
        <w:t xml:space="preserve"> gave gifts to people</w:t>
      </w:r>
      <w:r>
        <w:rPr/>
        <w:t xml:space="preserve">.</w:t>
      </w:r>
      <w:r>
        <w:rPr>
          <w:rStyle w:val="FootnoteReference"/>
        </w:rPr>
        <w:footnoteReference w:id="29885"/>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FootnoteReference"/>
        </w:rPr>
        <w:footnoteReference w:id="27557"/>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FootnoteReference"/>
        </w:rPr>
        <w:footnoteReference w:id="10200"/>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carrying out 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FootnoteReference"/>
        </w:rPr>
        <w:footnoteReference w:id="26074"/>
      </w:r>
      <w:r>
        <w:rPr/>
        <w:t xml:space="preserve"> the whole body, being fitted together and held together by every supporting ligament, produces the growth of the body as each individual part does its proper function</w:t>
      </w:r>
      <w:r>
        <w:rPr>
          <w:rStyle w:val="FootnoteReference"/>
        </w:rPr>
        <w:footnoteReference w:id="18822"/>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FootnoteReference"/>
        </w:rPr>
        <w:footnoteReference w:id="29265"/>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FootnoteReference"/>
        </w:rPr>
        <w:footnoteReference w:id="12128"/>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FootnoteReference"/>
        </w:rPr>
        <w:footnoteReference w:id="20097"/>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FootnoteReference"/>
        </w:rPr>
        <w:footnoteReference w:id="18553"/>
      </w:r>
      <w:r>
        <w:rPr/>
        <w:t xml:space="preserve"> Do not let the sun go down on your angry mood, </w:t>
      </w:r>
      <w:r>
        <w:rPr>
          <w:rStyle w:val="rSupStyle"/>
          <w:vertAlign w:val="superscript"/>
        </w:rPr>
        <w:t xml:space="preserve">27</w:t>
      </w:r>
      <w:r>
        <w:rPr/>
        <w:t xml:space="preserve">and do not give an opportunity to the Devil!</w:t>
      </w:r>
      <w:r>
        <w:rPr>
          <w:rStyle w:val="FootnoteReference"/>
        </w:rPr>
        <w:footnoteReference w:id="18805"/>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which is the seal with which you were marked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FootnoteReference"/>
        </w:rPr>
        <w:footnoteReference w:id="28793"/>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you know this with certainty: no person who is sexually immoral, impure, or greedy (who is an idolater) has an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FootnoteReference"/>
        </w:rPr>
        <w:footnoteReference w:id="27008"/>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FootnoteReference"/>
        </w:rPr>
        <w:footnoteReference w:id="15185"/>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FootnoteReference"/>
        </w:rPr>
        <w:footnoteReference w:id="19261"/>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FootnoteReference"/>
        </w:rPr>
        <w:footnoteReference w:id="31409"/>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FootnoteReference"/>
        </w:rPr>
        <w:footnoteReference w:id="20166"/>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FootnoteReference"/>
        </w:rPr>
        <w:footnoteReference w:id="12713"/>
      </w:r>
      <w:r>
        <w:rPr/>
        <w:t xml:space="preserve"> with fear and trembling, </w:t>
      </w:r>
      <w:r>
        <w:rPr>
          <w:i/>
          <w:iCs/>
        </w:rPr>
        <w:t xml:space="preserve">and</w:t>
      </w:r>
      <w:r>
        <w:rPr/>
        <w:t xml:space="preserve"> with a sincere heart,</w:t>
      </w:r>
      <w:r>
        <w:rPr>
          <w:rStyle w:val="FootnoteReference"/>
        </w:rPr>
        <w:footnoteReference w:id="11209"/>
      </w:r>
      <w:r>
        <w:rPr/>
        <w:t xml:space="preserve"> just as </w:t>
      </w:r>
      <w:r>
        <w:rPr>
          <w:i/>
          <w:iCs/>
        </w:rPr>
        <w:t xml:space="preserve">you obey</w:t>
      </w:r>
      <w:r>
        <w:rPr/>
        <w:t xml:space="preserve"> Christ.</w:t>
      </w:r>
      <w:r>
        <w:rPr>
          <w:rStyle w:val="FootnoteReference"/>
        </w:rPr>
        <w:footnoteReference w:id="17975"/>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FootnoteReference"/>
        </w:rPr>
        <w:footnoteReference w:id="19605"/>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FootnoteReference"/>
        </w:rPr>
        <w:footnoteReference w:id="28630"/>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FootnoteReference"/>
        </w:rPr>
        <w:footnoteReference w:id="22109"/>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FootnoteReference"/>
        </w:rPr>
        <w:footnoteReference w:id="24959"/>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w:t>
      </w:r>
      <w:r>
        <w:rPr>
          <w:i/>
          <w:iCs/>
        </w:rPr>
        <w:t xml:space="preserve">that is</w:t>
      </w:r>
      <w:r>
        <w:rPr/>
        <w:t xml:space="preserve"> in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FootnoteReference"/>
        </w:rPr>
        <w:footnoteReference w:id="31605"/>
      </w:r>
      <w:r>
        <w:rPr/>
        <w:t xml:space="preserve"> in the Lord, will tell you everything so that you also will know what is happening with me</w:t>
      </w:r>
      <w:r>
        <w:rPr>
          <w:rStyle w:val="FootnoteReference"/>
        </w:rPr>
        <w:footnoteReference w:id="31105"/>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950568680f4b3a46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89732"/>
      <w:docPartObj>
        <w:docPartGallery w:val="Page Numbers (Bottom of Page)"/>
        <w:docPartUnique/>
      </w:docPartObj>
    </w:sdtPr>
    <w:sdtContent>
      <w:sdt>
        <w:sdtPr>
          <w:id w:val="1984024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156">
    <w:p>
      <w:pPr>
        <w:pStyle w:val="FootnoteText"/>
      </w:pPr>
      <w:r>
        <w:rPr>
          <w:rStyle w:val="FootnoteReference"/>
        </w:rPr>
        <w:footnoteRef/>
      </w:r>
      <w:r>
        <w:t xml:space="preserve">
          <w:r>
            <w:t xml:space="preserve">
              <w:r>
                <w:t xml:space="preserve"> Lit. “the Anointed One”</w:t>
              </w:r>
            </w:t>
          </w:r>
        </w:t>
      </w:r>
    </w:p>
  </w:footnote>
  <w:footnote w:id="15561">
    <w:p>
      <w:pPr>
        <w:pStyle w:val="FootnoteText"/>
      </w:pPr>
      <w:r>
        <w:rPr>
          <w:rStyle w:val="FootnoteReference"/>
        </w:rPr>
        <w:footnoteRef/>
      </w:r>
      <w:r>
        <w:t xml:space="preserve">
          <w:r>
            <w:t xml:space="preserve">
              <w:r>
                <w:t xml:space="preserve"> “him” refers to Christ.</w:t>
              </w:r>
            </w:t>
          </w:r>
        </w:t>
      </w:r>
    </w:p>
  </w:footnote>
  <w:footnote w:id="13995">
    <w:p>
      <w:pPr>
        <w:pStyle w:val="FootnoteText"/>
      </w:pPr>
      <w:r>
        <w:rPr>
          <w:rStyle w:val="FootnoteReference"/>
        </w:rPr>
        <w:footnoteRef/>
      </w:r>
      <w:r>
        <w:t xml:space="preserve">
          <w:r>
            <w:t xml:space="preserve">
              <w:r>
                <w:t xml:space="preserve"> Lit. “in whom”</w:t>
              </w:r>
            </w:t>
          </w:r>
        </w:t>
      </w:r>
    </w:p>
  </w:footnote>
  <w:footnote w:id="20201">
    <w:p>
      <w:pPr>
        <w:pStyle w:val="FootnoteText"/>
      </w:pPr>
      <w:r>
        <w:rPr>
          <w:rStyle w:val="FootnoteReference"/>
        </w:rPr>
        <w:footnoteRef/>
      </w:r>
      <w:r>
        <w:t xml:space="preserve">
          <w:r>
            <w:t xml:space="preserve">
              <w:r>
                <w:t xml:space="preserve"> “him” refers to Christ.</w:t>
              </w:r>
            </w:t>
          </w:r>
        </w:t>
      </w:r>
    </w:p>
  </w:footnote>
  <w:footnote w:id="30059">
    <w:p>
      <w:pPr>
        <w:pStyle w:val="FootnoteText"/>
      </w:pPr>
      <w:r>
        <w:rPr>
          <w:rStyle w:val="FootnoteReference"/>
        </w:rPr>
        <w:footnoteRef/>
      </w:r>
      <w:r>
        <w:t xml:space="preserve">
          <w:r>
            <w:t xml:space="preserve">
              <w:r>
                <w:t xml:space="preserve"> Lit. “in whom”</w:t>
              </w:r>
            </w:t>
          </w:r>
        </w:t>
      </w:r>
    </w:p>
  </w:footnote>
  <w:footnote w:id="19672">
    <w:p>
      <w:pPr>
        <w:pStyle w:val="FootnoteText"/>
      </w:pPr>
      <w:r>
        <w:rPr>
          <w:rStyle w:val="FootnoteReference"/>
        </w:rPr>
        <w:footnoteRef/>
      </w:r>
      <w:r>
        <w:t xml:space="preserve">
          <w:r>
            <w:t xml:space="preserve">
              <w:r>
                <w:t xml:space="preserve"> Lit. “in whom”</w:t>
              </w:r>
            </w:t>
          </w:r>
        </w:t>
      </w:r>
    </w:p>
  </w:footnote>
  <w:footnote w:id="30647">
    <w:p>
      <w:pPr>
        <w:pStyle w:val="FootnoteText"/>
      </w:pPr>
      <w:r>
        <w:rPr>
          <w:rStyle w:val="FootnoteReference"/>
        </w:rPr>
        <w:footnoteRef/>
      </w:r>
      <w:r>
        <w:t xml:space="preserve">
          <w:r>
            <w:t xml:space="preserve">
              <w:r>
                <w:t xml:space="preserve"> “him” refers to Christ.</w:t>
              </w:r>
            </w:t>
          </w:r>
        </w:t>
      </w:r>
    </w:p>
  </w:footnote>
  <w:footnote w:id="30830">
    <w:p>
      <w:pPr>
        <w:pStyle w:val="FootnoteText"/>
      </w:pPr>
      <w:r>
        <w:rPr>
          <w:rStyle w:val="FootnoteReference"/>
        </w:rPr>
        <w:footnoteRef/>
      </w:r>
      <w:r>
        <w:t xml:space="preserve">
          <w:r>
            <w:t xml:space="preserve">
              <w:r>
                <w:t xml:space="preserve"> Lit. “the hope of his calling”</w:t>
              </w:r>
            </w:t>
          </w:r>
        </w:t>
      </w:r>
    </w:p>
  </w:footnote>
  <w:footnote w:id="28223">
    <w:p>
      <w:pPr>
        <w:pStyle w:val="FootnoteText"/>
      </w:pPr>
      <w:r>
        <w:rPr>
          <w:rStyle w:val="FootnoteReference"/>
        </w:rPr>
        <w:footnoteRef/>
      </w:r>
      <w:r>
        <w:t xml:space="preserve">
          <w:r>
            <w:t xml:space="preserve">
              <w:r>
                <w:t xml:space="preserve"> Lit. “the riches of the glory of his inheritance”</w:t>
              </w:r>
            </w:t>
          </w:r>
        </w:t>
      </w:r>
    </w:p>
  </w:footnote>
  <w:footnote w:id="24351">
    <w:p>
      <w:pPr>
        <w:pStyle w:val="FootnoteText"/>
      </w:pPr>
      <w:r>
        <w:rPr>
          <w:rStyle w:val="FootnoteReference"/>
        </w:rPr>
        <w:footnoteRef/>
      </w:r>
      <w:r>
        <w:t xml:space="preserve">
          <w:r>
            <w:t xml:space="preserve">
              <w:r>
                <w:t xml:space="preserve"> “his” refers to Christ.</w:t>
              </w:r>
            </w:t>
          </w:r>
        </w:t>
      </w:r>
    </w:p>
  </w:footnote>
  <w:footnote w:id="17540">
    <w:p>
      <w:pPr>
        <w:pStyle w:val="FootnoteText"/>
      </w:pPr>
      <w:r>
        <w:rPr>
          <w:rStyle w:val="FootnoteReference"/>
        </w:rPr>
        <w:footnoteRef/>
      </w:r>
      <w:r>
        <w:t xml:space="preserve">
          <w:r>
            <w:t xml:space="preserve">
              <w:r>
                <w:t xml:space="preserve"> Lit. “sons of disobedience”</w:t>
              </w:r>
            </w:t>
          </w:r>
        </w:t>
      </w:r>
    </w:p>
  </w:footnote>
  <w:footnote w:id="14829">
    <w:p>
      <w:pPr>
        <w:pStyle w:val="FootnoteText"/>
      </w:pPr>
      <w:r>
        <w:rPr>
          <w:rStyle w:val="FootnoteReference"/>
        </w:rPr>
        <w:footnoteRef/>
      </w:r>
      <w:r>
        <w:t xml:space="preserve">
          <w:r>
            <w:t xml:space="preserve">
              <w:r>
                <w:t xml:space="preserve"> Lit. “the Anointed One”</w:t>
              </w:r>
            </w:t>
          </w:r>
        </w:t>
      </w:r>
    </w:p>
  </w:footnote>
  <w:footnote w:id="15811">
    <w:p>
      <w:pPr>
        <w:pStyle w:val="FootnoteText"/>
      </w:pPr>
      <w:r>
        <w:rPr>
          <w:rStyle w:val="FootnoteReference"/>
        </w:rPr>
        <w:footnoteRef/>
      </w:r>
      <w:r>
        <w:t xml:space="preserve">
          <w:r>
            <w:t xml:space="preserve">
              <w:r>
                <w:t xml:space="preserve"> Lit. “in kindness”</w:t>
              </w:r>
            </w:t>
          </w:r>
        </w:t>
      </w:r>
    </w:p>
  </w:footnote>
  <w:footnote w:id="27317">
    <w:p>
      <w:pPr>
        <w:pStyle w:val="FootnoteText"/>
      </w:pPr>
      <w:r>
        <w:rPr>
          <w:rStyle w:val="FootnoteReference"/>
        </w:rPr>
        <w:footnoteRef/>
      </w:r>
      <w:r>
        <w:t xml:space="preserve">
          <w:r>
            <w:t xml:space="preserve">
              <w:r>
                <w:t xml:space="preserve"> Lit. “in whom”</w:t>
              </w:r>
            </w:t>
          </w:r>
        </w:t>
      </w:r>
    </w:p>
  </w:footnote>
  <w:footnote w:id="18446">
    <w:p>
      <w:pPr>
        <w:pStyle w:val="FootnoteText"/>
      </w:pPr>
      <w:r>
        <w:rPr>
          <w:rStyle w:val="FootnoteReference"/>
        </w:rPr>
        <w:footnoteRef/>
      </w:r>
      <w:r>
        <w:t xml:space="preserve">
          <w:r>
            <w:t xml:space="preserve">
              <w:r>
                <w:t xml:space="preserve"> Lit. “in whom”</w:t>
              </w:r>
            </w:t>
          </w:r>
        </w:t>
      </w:r>
    </w:p>
  </w:footnote>
  <w:footnote w:id="24217">
    <w:p>
      <w:pPr>
        <w:pStyle w:val="FootnoteText"/>
      </w:pPr>
      <w:r>
        <w:rPr>
          <w:rStyle w:val="FootnoteReference"/>
        </w:rPr>
        <w:footnoteRef/>
      </w:r>
      <w:r>
        <w:t xml:space="preserve">
          <w:r>
            <w:t xml:space="preserve">
              <w:r>
                <w:t xml:space="preserve"> Lit. “a dwelling place for God”</w:t>
              </w:r>
            </w:t>
          </w:r>
        </w:t>
      </w:r>
    </w:p>
  </w:footnote>
  <w:footnote w:id="32306">
    <w:p>
      <w:pPr>
        <w:pStyle w:val="FootnoteText"/>
      </w:pPr>
      <w:r>
        <w:rPr>
          <w:rStyle w:val="FootnoteReference"/>
        </w:rPr>
        <w:footnoteRef/>
      </w:r>
      <w:r>
        <w:t xml:space="preserve">
          <w:r>
            <w:t xml:space="preserve">
              <w:r>
                <w:t xml:space="preserve"> Lit. “the Anointed One”</w:t>
              </w:r>
            </w:t>
          </w:r>
        </w:t>
      </w:r>
    </w:p>
  </w:footnote>
  <w:footnote w:id="30352">
    <w:p>
      <w:pPr>
        <w:pStyle w:val="FootnoteText"/>
      </w:pPr>
      <w:r>
        <w:rPr>
          <w:rStyle w:val="FootnoteReference"/>
        </w:rPr>
        <w:footnoteRef/>
      </w:r>
      <w:r>
        <w:t xml:space="preserve">
          <w:r>
            <w:t xml:space="preserve">
              <w:r>
                <w:t xml:space="preserve"> Lit. “prisoner of Christ Jesus”</w:t>
              </w:r>
            </w:t>
          </w:r>
        </w:t>
      </w:r>
    </w:p>
  </w:footnote>
  <w:footnote w:id="12882">
    <w:p>
      <w:pPr>
        <w:pStyle w:val="FootnoteText"/>
      </w:pPr>
      <w:r>
        <w:rPr>
          <w:rStyle w:val="FootnoteReference"/>
        </w:rPr>
        <w:footnoteRef/>
      </w:r>
      <w:r>
        <w:t xml:space="preserve">
          <w:r>
            <w:t xml:space="preserve">
              <w:r>
                <w:t xml:space="preserve"> Lit. “the sons of men”</w:t>
              </w:r>
            </w:t>
          </w:r>
        </w:t>
      </w:r>
    </w:p>
  </w:footnote>
  <w:footnote w:id="11944">
    <w:p>
      <w:pPr>
        <w:pStyle w:val="FootnoteText"/>
      </w:pPr>
      <w:r>
        <w:rPr>
          <w:rStyle w:val="FootnoteReference"/>
        </w:rPr>
        <w:footnoteRef/>
      </w:r>
      <w:r>
        <w:t xml:space="preserve">
          <w:r>
            <w:t xml:space="preserve">
              <w:r>
                <w:t xml:space="preserve"> Lit. “in whom”</w:t>
              </w:r>
            </w:t>
          </w:r>
        </w:t>
      </w:r>
    </w:p>
  </w:footnote>
  <w:footnote w:id="25764">
    <w:p>
      <w:pPr>
        <w:pStyle w:val="FootnoteText"/>
      </w:pPr>
      <w:r>
        <w:rPr>
          <w:rStyle w:val="FootnoteReference"/>
        </w:rPr>
        <w:footnoteRef/>
      </w:r>
      <w:r>
        <w:t xml:space="preserve">
          <w:r>
            <w:t xml:space="preserve">
              <w:r>
                <w:t xml:space="preserve"> Lit. “a prisoner of the Lord”</w:t>
              </w:r>
            </w:t>
          </w:r>
        </w:t>
      </w:r>
    </w:p>
  </w:footnote>
  <w:footnote w:id="21150">
    <w:p>
      <w:pPr>
        <w:pStyle w:val="FootnoteText"/>
      </w:pPr>
      <w:r>
        <w:rPr>
          <w:rStyle w:val="FootnoteReference"/>
        </w:rPr>
        <w:footnoteRef/>
      </w:r>
      <w:r>
        <w:t xml:space="preserve">
          <w:r>
            <w:t xml:space="preserve">
              <w:r>
                <w:t xml:space="preserve"> Lit. “of your calling”</w:t>
              </w:r>
            </w:t>
          </w:r>
        </w:t>
      </w:r>
    </w:p>
  </w:footnote>
  <w:footnote w:id="13070">
    <w:p>
      <w:pPr>
        <w:pStyle w:val="FootnoteText"/>
      </w:pPr>
      <w:r>
        <w:rPr>
          <w:rStyle w:val="FootnoteReference"/>
        </w:rPr>
        <w:footnoteRef/>
      </w:r>
      <w:r>
        <w:t xml:space="preserve">
          <w:r>
            <w:t xml:space="preserve">
              <w:r>
                <w:t xml:space="preserve"> Lit. “the gift of the Anointed One”</w:t>
              </w:r>
            </w:t>
          </w:r>
        </w:t>
      </w:r>
    </w:p>
  </w:footnote>
  <w:footnote w:id="23171">
    <w:p>
      <w:pPr>
        <w:pStyle w:val="FootnoteText"/>
      </w:pPr>
      <w:r>
        <w:rPr>
          <w:rStyle w:val="FootnoteReference"/>
        </w:rPr>
        <w:footnoteRef/>
      </w:r>
      <w:r>
        <w:t xml:space="preserve">
          <w:r>
            <w:t xml:space="preserve">
              <w:r>
                <w:t xml:space="preserve"> Lit. “the captives captive”</w:t>
              </w:r>
            </w:t>
          </w:r>
        </w:t>
      </w:r>
    </w:p>
  </w:footnote>
  <w:footnote w:id="29885">
    <w:p>
      <w:pPr>
        <w:pStyle w:val="FootnoteText"/>
      </w:pPr>
      <w:r>
        <w:rPr>
          <w:rStyle w:val="FootnoteReference"/>
        </w:rPr>
        <w:footnoteRef/>
      </w:r>
      <w:r>
        <w:t xml:space="preserve">
          <w:r>
            <w:t xml:space="preserve">
              <w:r>
                <w:t xml:space="preserve"> From Ps. 68:18</w:t>
              </w:r>
            </w:t>
          </w:r>
        </w:t>
      </w:r>
    </w:p>
  </w:footnote>
  <w:footnote w:id="27557">
    <w:p>
      <w:pPr>
        <w:pStyle w:val="FootnoteText"/>
      </w:pPr>
      <w:r>
        <w:rPr>
          <w:rStyle w:val="FootnoteReference"/>
        </w:rPr>
        <w:footnoteRef/>
      </w:r>
      <w:r>
        <w:t xml:space="preserve">
          <w:r>
            <w:t xml:space="preserve">
              <w:r>
                <w:t xml:space="preserve"> “Faith” refers to the Christian Faith.</w:t>
              </w:r>
            </w:t>
          </w:r>
        </w:t>
      </w:r>
    </w:p>
  </w:footnote>
  <w:footnote w:id="10200">
    <w:p>
      <w:pPr>
        <w:pStyle w:val="FootnoteText"/>
      </w:pPr>
      <w:r>
        <w:rPr>
          <w:rStyle w:val="FootnoteReference"/>
        </w:rPr>
        <w:footnoteRef/>
      </w:r>
      <w:r>
        <w:t xml:space="preserve">
          <w:r>
            <w:t xml:space="preserve">
              <w:r>
                <w:t xml:space="preserve"> Lit. “fullness”</w:t>
              </w:r>
            </w:t>
          </w:r>
        </w:t>
      </w:r>
    </w:p>
  </w:footnote>
  <w:footnote w:id="26074">
    <w:p>
      <w:pPr>
        <w:pStyle w:val="FootnoteText"/>
      </w:pPr>
      <w:r>
        <w:rPr>
          <w:rStyle w:val="FootnoteReference"/>
        </w:rPr>
        <w:footnoteRef/>
      </w:r>
      <w:r>
        <w:t xml:space="preserve">
          <w:r>
            <w:t xml:space="preserve">
              <w:r>
                <w:t xml:space="preserve"> Lit. “from whom”</w:t>
              </w:r>
            </w:t>
          </w:r>
        </w:t>
      </w:r>
    </w:p>
  </w:footnote>
  <w:footnote w:id="18822">
    <w:p>
      <w:pPr>
        <w:pStyle w:val="FootnoteText"/>
      </w:pPr>
      <w:r>
        <w:rPr>
          <w:rStyle w:val="FootnoteReference"/>
        </w:rPr>
        <w:footnoteRef/>
      </w:r>
      <w:r>
        <w:t xml:space="preserve">
          <w:r>
            <w:t xml:space="preserve">
              <w:r>
                <w:t xml:space="preserve"> Lit. “according to the working in measure of each part”</w:t>
              </w:r>
            </w:t>
          </w:r>
        </w:t>
      </w:r>
    </w:p>
  </w:footnote>
  <w:footnote w:id="29265">
    <w:p>
      <w:pPr>
        <w:pStyle w:val="FootnoteText"/>
      </w:pPr>
      <w:r>
        <w:rPr>
          <w:rStyle w:val="FootnoteReference"/>
        </w:rPr>
        <w:footnoteRef/>
      </w:r>
      <w:r>
        <w:t xml:space="preserve">
          <w:r>
            <w:t xml:space="preserve">
              <w:r>
                <w:t xml:space="preserve"> Lit. “in the futility of their minds”</w:t>
              </w:r>
            </w:t>
          </w:r>
        </w:t>
      </w:r>
    </w:p>
  </w:footnote>
  <w:footnote w:id="12128">
    <w:p>
      <w:pPr>
        <w:pStyle w:val="FootnoteText"/>
      </w:pPr>
      <w:r>
        <w:rPr>
          <w:rStyle w:val="FootnoteReference"/>
        </w:rPr>
        <w:footnoteRef/>
      </w:r>
      <w:r>
        <w:t xml:space="preserve">
          <w:r>
            <w:t xml:space="preserve">
              <w:r>
                <w:t xml:space="preserve"> Lit. “life of God”</w:t>
              </w:r>
            </w:t>
          </w:r>
        </w:t>
      </w:r>
    </w:p>
  </w:footnote>
  <w:footnote w:id="20097">
    <w:p>
      <w:pPr>
        <w:pStyle w:val="FootnoteText"/>
      </w:pPr>
      <w:r>
        <w:rPr>
          <w:rStyle w:val="FootnoteReference"/>
        </w:rPr>
        <w:footnoteRef/>
      </w:r>
      <w:r>
        <w:t xml:space="preserve">
          <w:r>
            <w:t xml:space="preserve">
              <w:r>
                <w:t xml:space="preserve"> From Zech. 8:16</w:t>
              </w:r>
            </w:t>
          </w:r>
        </w:t>
      </w:r>
    </w:p>
  </w:footnote>
  <w:footnote w:id="18553">
    <w:p>
      <w:pPr>
        <w:pStyle w:val="FootnoteText"/>
      </w:pPr>
      <w:r>
        <w:rPr>
          <w:rStyle w:val="FootnoteReference"/>
        </w:rPr>
        <w:footnoteRef/>
      </w:r>
      <w:r>
        <w:t xml:space="preserve">
          <w:r>
            <w:t xml:space="preserve">
              <w:r>
                <w:t xml:space="preserve"> From Ps. 4:4</w:t>
              </w:r>
            </w:t>
          </w:r>
        </w:t>
      </w:r>
    </w:p>
  </w:footnote>
  <w:footnote w:id="18805">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8793">
    <w:p>
      <w:pPr>
        <w:pStyle w:val="FootnoteText"/>
      </w:pPr>
      <w:r>
        <w:rPr>
          <w:rStyle w:val="FootnoteReference"/>
        </w:rPr>
        <w:footnoteRef/>
      </w:r>
      <w:r>
        <w:t xml:space="preserve">
          <w:r>
            <w:t xml:space="preserve">
              <w:r>
                <w:t xml:space="preserve"> Lit. “the Anointed One”</w:t>
              </w:r>
            </w:t>
          </w:r>
        </w:t>
      </w:r>
    </w:p>
  </w:footnote>
  <w:footnote w:id="27008">
    <w:p>
      <w:pPr>
        <w:pStyle w:val="FootnoteText"/>
      </w:pPr>
      <w:r>
        <w:rPr>
          <w:rStyle w:val="FootnoteReference"/>
        </w:rPr>
        <w:footnoteRef/>
      </w:r>
      <w:r>
        <w:t xml:space="preserve">
          <w:r>
            <w:t xml:space="preserve">
              <w:r>
                <w:t xml:space="preserve"> Lit. “the sons of disobedience”</w:t>
              </w:r>
            </w:t>
          </w:r>
        </w:t>
      </w:r>
    </w:p>
  </w:footnote>
  <w:footnote w:id="15185">
    <w:p>
      <w:pPr>
        <w:pStyle w:val="FootnoteText"/>
      </w:pPr>
      <w:r>
        <w:rPr>
          <w:rStyle w:val="FootnoteReference"/>
        </w:rPr>
        <w:footnoteRef/>
      </w:r>
      <w:r>
        <w:t xml:space="preserve">
          <w:r>
            <w:t xml:space="preserve">
              <w:r>
                <w:t xml:space="preserve"> Lit. “in all goodness, righteousness, and truth”</w:t>
              </w:r>
            </w:t>
          </w:r>
        </w:t>
      </w:r>
    </w:p>
  </w:footnote>
  <w:footnote w:id="19261">
    <w:p>
      <w:pPr>
        <w:pStyle w:val="FootnoteText"/>
      </w:pPr>
      <w:r>
        <w:rPr>
          <w:rStyle w:val="FootnoteReference"/>
        </w:rPr>
        <w:footnoteRef/>
      </w:r>
      <w:r>
        <w:t xml:space="preserve">
          <w:r>
            <w:t xml:space="preserve">
              <w:r>
                <w:t xml:space="preserve"> This quotation, though unknown now, was apparently well-known during Paul’s time.</w:t>
              </w:r>
            </w:t>
          </w:r>
        </w:t>
      </w:r>
    </w:p>
  </w:footnote>
  <w:footnote w:id="31409">
    <w:p>
      <w:pPr>
        <w:pStyle w:val="FootnoteText"/>
      </w:pPr>
      <w:r>
        <w:rPr>
          <w:rStyle w:val="FootnoteReference"/>
        </w:rPr>
        <w:footnoteRef/>
      </w:r>
      <w:r>
        <w:t xml:space="preserve">
          <w:r>
            <w:t xml:space="preserve">
              <w:r>
                <w:t xml:space="preserve"> From Gen. 2:24 LXX</w:t>
              </w:r>
            </w:t>
          </w:r>
        </w:t>
      </w:r>
    </w:p>
  </w:footnote>
  <w:footnote w:id="20166">
    <w:p>
      <w:pPr>
        <w:pStyle w:val="FootnoteText"/>
      </w:pPr>
      <w:r>
        <w:rPr>
          <w:rStyle w:val="FootnoteReference"/>
        </w:rPr>
        <w:footnoteRef/>
      </w:r>
      <w:r>
        <w:t xml:space="preserve">
          <w:r>
            <w:t xml:space="preserve">
              <w:r>
                <w:t xml:space="preserve"> From Deut. 5:16</w:t>
              </w:r>
            </w:t>
          </w:r>
        </w:t>
      </w:r>
    </w:p>
  </w:footnote>
  <w:footnote w:id="12713">
    <w:p>
      <w:pPr>
        <w:pStyle w:val="FootnoteText"/>
      </w:pPr>
      <w:r>
        <w:rPr>
          <w:rStyle w:val="FootnoteReference"/>
        </w:rPr>
        <w:footnoteRef/>
      </w:r>
      <w:r>
        <w:t xml:space="preserve">
          <w:r>
            <w:t xml:space="preserve">
              <w:r>
                <w:t xml:space="preserve"> Lit. “lords according to the flesh”</w:t>
              </w:r>
            </w:t>
          </w:r>
        </w:t>
      </w:r>
    </w:p>
  </w:footnote>
  <w:footnote w:id="11209">
    <w:p>
      <w:pPr>
        <w:pStyle w:val="FootnoteText"/>
      </w:pPr>
      <w:r>
        <w:rPr>
          <w:rStyle w:val="FootnoteReference"/>
        </w:rPr>
        <w:footnoteRef/>
      </w:r>
      <w:r>
        <w:t xml:space="preserve">
          <w:r>
            <w:t xml:space="preserve">
              <w:r>
                <w:t xml:space="preserve"> Lit. “ in singleness of your heart”</w:t>
              </w:r>
            </w:t>
          </w:r>
        </w:t>
      </w:r>
    </w:p>
  </w:footnote>
  <w:footnote w:id="17975">
    <w:p>
      <w:pPr>
        <w:pStyle w:val="FootnoteText"/>
      </w:pPr>
      <w:r>
        <w:rPr>
          <w:rStyle w:val="FootnoteReference"/>
        </w:rPr>
        <w:footnoteRef/>
      </w:r>
      <w:r>
        <w:t xml:space="preserve">
          <w:r>
            <w:t xml:space="preserve">
              <w:r>
                <w:t xml:space="preserve"> Lit. “the Anointed One”</w:t>
              </w:r>
            </w:t>
          </w:r>
        </w:t>
      </w:r>
    </w:p>
  </w:footnote>
  <w:footnote w:id="19605">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2863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2109">
    <w:p>
      <w:pPr>
        <w:pStyle w:val="FootnoteText"/>
      </w:pPr>
      <w:r>
        <w:rPr>
          <w:rStyle w:val="FootnoteReference"/>
        </w:rPr>
        <w:footnoteRef/>
      </w:r>
      <w:r>
        <w:t xml:space="preserve">
          <w:r>
            <w:t xml:space="preserve">
              <w:r>
                <w:t xml:space="preserve"> Lit. “having your feet fitted”</w:t>
              </w:r>
            </w:t>
          </w:r>
        </w:t>
      </w:r>
    </w:p>
  </w:footnote>
  <w:footnote w:id="24959">
    <w:p>
      <w:pPr>
        <w:pStyle w:val="FootnoteText"/>
      </w:pPr>
      <w:r>
        <w:rPr>
          <w:rStyle w:val="FootnoteReference"/>
        </w:rPr>
        <w:footnoteRef/>
      </w:r>
      <w:r>
        <w:t xml:space="preserve">
          <w:r>
            <w:t xml:space="preserve">
              <w:r>
                <w:t xml:space="preserve"> Or “in every circumstance”</w:t>
              </w:r>
            </w:t>
          </w:r>
        </w:t>
      </w:r>
    </w:p>
  </w:footnote>
  <w:footnote w:id="31605">
    <w:p>
      <w:pPr>
        <w:pStyle w:val="FootnoteText"/>
      </w:pPr>
      <w:r>
        <w:rPr>
          <w:rStyle w:val="FootnoteReference"/>
        </w:rPr>
        <w:footnoteRef/>
      </w:r>
      <w:r>
        <w:t xml:space="preserve">
          <w:r>
            <w:t xml:space="preserve">
              <w:r>
                <w:t xml:space="preserve"> Or “deacon”</w:t>
              </w:r>
            </w:t>
          </w:r>
        </w:t>
      </w:r>
    </w:p>
  </w:footnote>
  <w:footnote w:id="31105">
    <w:p>
      <w:pPr>
        <w:pStyle w:val="FootnoteText"/>
      </w:pPr>
      <w:r>
        <w:rPr>
          <w:rStyle w:val="FootnoteReference"/>
        </w:rPr>
        <w:footnoteRef/>
      </w:r>
      <w:r>
        <w:t xml:space="preserve">
          <w:r>
            <w:t xml:space="preserve">
              <w:r>
                <w:t xml:space="preserve"> Lit. “the things related to me”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690566">
    <w:multiLevelType w:val="hybridMultilevel"/>
    <w:lvl w:ilvl="0" w:tplc="72595044">
      <w:start w:val="1"/>
      <w:numFmt w:val="decimal"/>
      <w:lvlText w:val="%1."/>
      <w:lvlJc w:val="left"/>
      <w:pPr>
        <w:ind w:left="720" w:hanging="360"/>
      </w:pPr>
    </w:lvl>
    <w:lvl w:ilvl="1" w:tplc="72595044" w:tentative="1">
      <w:start w:val="1"/>
      <w:numFmt w:val="lowerLetter"/>
      <w:lvlText w:val="%2."/>
      <w:lvlJc w:val="left"/>
      <w:pPr>
        <w:ind w:left="1440" w:hanging="360"/>
      </w:pPr>
    </w:lvl>
    <w:lvl w:ilvl="2" w:tplc="72595044" w:tentative="1">
      <w:start w:val="1"/>
      <w:numFmt w:val="lowerRoman"/>
      <w:lvlText w:val="%3."/>
      <w:lvlJc w:val="right"/>
      <w:pPr>
        <w:ind w:left="2160" w:hanging="180"/>
      </w:pPr>
    </w:lvl>
    <w:lvl w:ilvl="3" w:tplc="72595044" w:tentative="1">
      <w:start w:val="1"/>
      <w:numFmt w:val="decimal"/>
      <w:lvlText w:val="%4."/>
      <w:lvlJc w:val="left"/>
      <w:pPr>
        <w:ind w:left="2880" w:hanging="360"/>
      </w:pPr>
    </w:lvl>
    <w:lvl w:ilvl="4" w:tplc="72595044" w:tentative="1">
      <w:start w:val="1"/>
      <w:numFmt w:val="lowerLetter"/>
      <w:lvlText w:val="%5."/>
      <w:lvlJc w:val="left"/>
      <w:pPr>
        <w:ind w:left="3600" w:hanging="360"/>
      </w:pPr>
    </w:lvl>
    <w:lvl w:ilvl="5" w:tplc="72595044" w:tentative="1">
      <w:start w:val="1"/>
      <w:numFmt w:val="lowerRoman"/>
      <w:lvlText w:val="%6."/>
      <w:lvlJc w:val="right"/>
      <w:pPr>
        <w:ind w:left="4320" w:hanging="180"/>
      </w:pPr>
    </w:lvl>
    <w:lvl w:ilvl="6" w:tplc="72595044" w:tentative="1">
      <w:start w:val="1"/>
      <w:numFmt w:val="decimal"/>
      <w:lvlText w:val="%7."/>
      <w:lvlJc w:val="left"/>
      <w:pPr>
        <w:ind w:left="5040" w:hanging="360"/>
      </w:pPr>
    </w:lvl>
    <w:lvl w:ilvl="7" w:tplc="72595044" w:tentative="1">
      <w:start w:val="1"/>
      <w:numFmt w:val="lowerLetter"/>
      <w:lvlText w:val="%8."/>
      <w:lvlJc w:val="left"/>
      <w:pPr>
        <w:ind w:left="5760" w:hanging="360"/>
      </w:pPr>
    </w:lvl>
    <w:lvl w:ilvl="8" w:tplc="72595044" w:tentative="1">
      <w:start w:val="1"/>
      <w:numFmt w:val="lowerRoman"/>
      <w:lvlText w:val="%9."/>
      <w:lvlJc w:val="right"/>
      <w:pPr>
        <w:ind w:left="6480" w:hanging="180"/>
      </w:pPr>
    </w:lvl>
  </w:abstractNum>
  <w:abstractNum w:abstractNumId="21549">
    <w:multiLevelType w:val="hybridMultilevel"/>
    <w:lvl w:ilvl="0" w:tplc="167993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549">
    <w:abstractNumId w:val="21549"/>
  </w:num>
  <w:num w:numId="42690566">
    <w:abstractNumId w:val="426905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7726832" Type="http://schemas.openxmlformats.org/officeDocument/2006/relationships/numbering" Target="numbering.xml"/><Relationship Id="rId364416372" Type="http://schemas.openxmlformats.org/officeDocument/2006/relationships/comments" Target="comments.xml"/><Relationship Id="rId950568680f4b3a46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