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7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FootnoteReference"/>
        </w:rPr>
        <w:footnoteReference w:id="29712"/>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FootnoteReference"/>
        </w:rPr>
        <w:footnoteReference w:id="25640"/>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FootnoteReference"/>
        </w:rPr>
        <w:footnoteReference w:id="31643"/>
      </w:r>
      <w:r>
        <w:rPr/>
        <w:t xml:space="preserve"> that King Solomon built for Yahweh was 60 cubits long</w:t>
      </w:r>
      <w:r>
        <w:rPr>
          <w:rStyle w:val="FootnoteReference"/>
        </w:rPr>
        <w:footnoteReference w:id="29706"/>
      </w:r>
      <w:r>
        <w:rPr/>
        <w:t xml:space="preserve"> and 20 cubits wide</w:t>
      </w:r>
      <w:r>
        <w:rPr>
          <w:rStyle w:val="FootnoteReference"/>
        </w:rPr>
        <w:footnoteReference w:id="32194"/>
      </w:r>
      <w:r>
        <w:rPr/>
        <w:t xml:space="preserve"> and 30 cubits high.</w:t>
      </w:r>
      <w:r>
        <w:rPr>
          <w:rStyle w:val="FootnoteReference"/>
        </w:rPr>
        <w:footnoteReference w:id="31285"/>
      </w:r>
      <w:r>
        <w:rPr/>
        <w:t xml:space="preserve"> </w:t>
      </w:r>
      <w:r>
        <w:rPr>
          <w:rStyle w:val="rSupStyle"/>
          <w:vertAlign w:val="superscript"/>
        </w:rPr>
        <w:t xml:space="preserve">3</w:t>
      </w:r>
      <w:r>
        <w:rPr/>
        <w:t xml:space="preserve">The vestibule at the front of the Holy Place of the house</w:t>
      </w:r>
      <w:r>
        <w:rPr>
          <w:rStyle w:val="FootnoteReference"/>
        </w:rPr>
        <w:footnoteReference w:id="27607"/>
      </w:r>
      <w:r>
        <w:rPr/>
        <w:t xml:space="preserve"> was 20 cubits wide,</w:t>
      </w:r>
      <w:r>
        <w:rPr>
          <w:rStyle w:val="FootnoteReference"/>
        </w:rPr>
        <w:footnoteReference w:id="30578"/>
      </w:r>
      <w:r>
        <w:rPr/>
        <w:t xml:space="preserve"> equal to the width of the house, </w:t>
      </w:r>
      <w:r>
        <w:rPr>
          <w:i/>
          <w:iCs/>
        </w:rPr>
        <w:t xml:space="preserve">and</w:t>
      </w:r>
      <w:r>
        <w:rPr/>
        <w:t xml:space="preserve"> it was ten cubits deep,</w:t>
      </w:r>
      <w:r>
        <w:rPr>
          <w:rStyle w:val="FootnoteReference"/>
        </w:rPr>
        <w:footnoteReference w:id="12696"/>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FootnoteReference"/>
        </w:rPr>
        <w:footnoteReference w:id="22237"/>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FootnoteReference"/>
        </w:rPr>
        <w:footnoteReference w:id="22302"/>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FootnoteReference"/>
        </w:rPr>
        <w:footnoteReference w:id="31568"/>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FootnoteReference"/>
        </w:rPr>
        <w:footnoteReference w:id="20872"/>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FootnoteReference"/>
        </w:rPr>
        <w:footnoteReference w:id="19962"/>
      </w:r>
      <w:r>
        <w:rPr/>
        <w:t xml:space="preserve"> </w:t>
      </w:r>
      <w:r>
        <w:rPr>
          <w:rStyle w:val="rSupStyle"/>
          <w:vertAlign w:val="superscript"/>
        </w:rPr>
        <w:t xml:space="preserve">24</w:t>
      </w:r>
      <w:r>
        <w:rPr/>
        <w:t xml:space="preserve">Five cubits</w:t>
      </w:r>
      <w:r>
        <w:rPr>
          <w:rStyle w:val="FootnoteReference"/>
        </w:rPr>
        <w:footnoteReference w:id="27911"/>
      </w:r>
      <w:r>
        <w:rPr/>
        <w:t xml:space="preserve"> was the one wing of the cherub and five cubits was the other wing of the cherub; from the tip of the one wing to the tip of the other was ten cubits.</w:t>
      </w:r>
      <w:r>
        <w:rPr>
          <w:rStyle w:val="FootnoteReference"/>
        </w:rPr>
        <w:footnoteReference w:id="27645"/>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FootnoteReference"/>
        </w:rPr>
        <w:footnoteReference w:id="28845"/>
      </w:r>
      <w:r>
        <w:rPr/>
        <w:t xml:space="preserve"> and its width 50 cubits</w:t>
      </w:r>
      <w:r>
        <w:rPr>
          <w:rStyle w:val="FootnoteReference"/>
        </w:rPr>
        <w:footnoteReference w:id="28117"/>
      </w:r>
      <w:r>
        <w:rPr/>
        <w:t xml:space="preserve"> and its height 30 cubits</w:t>
      </w:r>
      <w:r>
        <w:rPr>
          <w:rStyle w:val="FootnoteReference"/>
        </w:rPr>
        <w:footnoteReference w:id="31338"/>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FootnoteReference"/>
        </w:rPr>
        <w:footnoteReference w:id="12236"/>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FootnoteReference"/>
        </w:rPr>
        <w:footnoteReference w:id="30569"/>
      </w:r>
      <w:r>
        <w:rPr/>
        <w:t xml:space="preserve"> and stones of eight cubits.</w:t>
      </w:r>
      <w:r>
        <w:rPr>
          <w:rStyle w:val="FootnoteReference"/>
        </w:rPr>
        <w:footnoteReference w:id="28601"/>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FootnoteReference"/>
        </w:rPr>
        <w:footnoteReference w:id="10465"/>
      </w:r>
      <w:r>
        <w:rPr/>
        <w:t xml:space="preserve"> and the circumference was 12 cubits,</w:t>
      </w:r>
      <w:r>
        <w:rPr>
          <w:rStyle w:val="FootnoteReference"/>
        </w:rPr>
        <w:footnoteReference w:id="32072"/>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FootnoteReference"/>
        </w:rPr>
        <w:footnoteReference w:id="17882"/>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FootnoteReference"/>
        </w:rPr>
        <w:footnoteReference w:id="29168"/>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FootnoteReference"/>
        </w:rPr>
        <w:footnoteReference w:id="17232"/>
      </w:r>
      <w:r>
        <w:rPr/>
        <w:t xml:space="preserve"> from brim to brim, circular in form, and its height was five cubits,</w:t>
      </w:r>
      <w:r>
        <w:rPr>
          <w:rStyle w:val="FootnoteReference"/>
        </w:rPr>
        <w:footnoteReference w:id="13638"/>
      </w:r>
      <w:r>
        <w:rPr/>
        <w:t xml:space="preserve"> and it was 30 cubits</w:t>
      </w:r>
      <w:r>
        <w:rPr>
          <w:rStyle w:val="FootnoteReference"/>
        </w:rPr>
        <w:footnoteReference w:id="25301"/>
      </w:r>
      <w:r>
        <w:rPr/>
        <w:t xml:space="preserve"> in circumference. </w:t>
      </w:r>
      <w:r>
        <w:rPr>
          <w:rStyle w:val="rSupStyle"/>
          <w:vertAlign w:val="superscript"/>
        </w:rPr>
        <w:t xml:space="preserve">24</w:t>
      </w:r>
      <w:r>
        <w:rPr/>
        <w:t xml:space="preserve">Under its brim around there were gourds that encircled it, ten to a cubit,</w:t>
      </w:r>
      <w:r>
        <w:rPr>
          <w:rStyle w:val="FootnoteReference"/>
        </w:rPr>
        <w:footnoteReference w:id="24508"/>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FootnoteReference"/>
        </w:rPr>
        <w:footnoteReference w:id="26005"/>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FootnoteReference"/>
        </w:rPr>
        <w:footnoteReference w:id="18673"/>
      </w:r>
      <w:r>
        <w:rPr/>
        <w:t xml:space="preserve"> was the length of each stand and four cubits its width, and three cubits its height.</w:t>
      </w:r>
      <w:r>
        <w:rPr>
          <w:rStyle w:val="FootnoteReference"/>
        </w:rPr>
        <w:footnoteReference w:id="17997"/>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FootnoteReference"/>
        </w:rPr>
        <w:footnoteReference w:id="28012"/>
      </w:r>
      <w:r>
        <w:rPr/>
        <w:t xml:space="preserve"> and its opening was round, resembling the workmanship of the stand, a cubit and a half;</w:t>
      </w:r>
      <w:r>
        <w:rPr>
          <w:rStyle w:val="FootnoteReference"/>
        </w:rPr>
        <w:footnoteReference w:id="30949"/>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FootnoteReference"/>
        </w:rPr>
        <w:footnoteReference w:id="20898"/>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FootnoteReference"/>
        </w:rPr>
        <w:footnoteReference w:id="25554"/>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FootnoteReference"/>
        </w:rPr>
        <w:footnoteReference w:id="13278"/>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FootnoteReference"/>
        </w:rPr>
        <w:footnoteReference w:id="19999"/>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FootnoteReference"/>
        </w:rPr>
        <w:footnoteReference w:id="30343"/>
      </w:r>
      <w:r>
        <w:rPr/>
        <w:t xml:space="preserve"> and a horse for 150,</w:t>
      </w:r>
      <w:r>
        <w:rPr>
          <w:rStyle w:val="FootnoteReference"/>
        </w:rPr>
        <w:footnoteReference w:id="16705"/>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FootnoteReference"/>
        </w:rPr>
        <w:footnoteReference w:id="31223"/>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will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will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FootnoteReference"/>
        </w:rPr>
        <w:footnoteReference w:id="29606"/>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FootnoteReference"/>
        </w:rPr>
        <w:footnoteReference w:id="22427"/>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FootnoteReference"/>
        </w:rPr>
        <w:footnoteReference w:id="21855"/>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373468680f2046f3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857989"/>
      <w:docPartObj>
        <w:docPartGallery w:val="Page Numbers (Bottom of Page)"/>
        <w:docPartUnique/>
      </w:docPartObj>
    </w:sdtPr>
    <w:sdtContent>
      <w:sdt>
        <w:sdtPr>
          <w:id w:val="7514533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712">
    <w:p>
      <w:pPr>
        <w:pStyle w:val="FootnoteText"/>
      </w:pPr>
      <w:r>
        <w:rPr>
          <w:rStyle w:val="FootnoteReference"/>
        </w:rPr>
        <w:footnoteRef/>
      </w:r>
      <w:r>
        <w:t xml:space="preserve">
          <w:r>
            <w:t xml:space="preserve">
              <w:r>
                <w:t xml:space="preserve"> A cor is about 6 bushels.</w:t>
              </w:r>
            </w:t>
          </w:r>
        </w:t>
      </w:r>
    </w:p>
  </w:footnote>
  <w:footnote w:id="25640">
    <w:p>
      <w:pPr>
        <w:pStyle w:val="FootnoteText"/>
      </w:pPr>
      <w:r>
        <w:rPr>
          <w:rStyle w:val="FootnoteReference"/>
        </w:rPr>
        <w:footnoteRef/>
      </w:r>
      <w:r>
        <w:t xml:space="preserve">
          <w:r>
            <w:t xml:space="preserve">
              <w:r>
                <w:t xml:space="preserve"> A cor is about 6 bushels.</w:t>
              </w:r>
            </w:t>
          </w:r>
        </w:t>
      </w:r>
    </w:p>
  </w:footnote>
  <w:footnote w:id="31643">
    <w:p>
      <w:pPr>
        <w:pStyle w:val="FootnoteText"/>
      </w:pPr>
      <w:r>
        <w:rPr>
          <w:rStyle w:val="FootnoteReference"/>
        </w:rPr>
        <w:footnoteRef/>
      </w:r>
      <w:r>
        <w:t xml:space="preserve">
          <w:r>
            <w:t xml:space="preserve">
              <w:r>
                <w:t xml:space="preserve"> The “house” is the Temple.</w:t>
              </w:r>
            </w:t>
          </w:r>
        </w:t>
      </w:r>
    </w:p>
  </w:footnote>
  <w:footnote w:id="29706">
    <w:p>
      <w:pPr>
        <w:pStyle w:val="FootnoteText"/>
      </w:pPr>
      <w:r>
        <w:rPr>
          <w:rStyle w:val="FootnoteReference"/>
        </w:rPr>
        <w:footnoteRef/>
      </w:r>
      <w:r>
        <w:t xml:space="preserve">
          <w:r>
            <w:t xml:space="preserve">
              <w:r>
                <w:t xml:space="preserve"> About 90 feet (27.4 meters)</w:t>
              </w:r>
            </w:t>
          </w:r>
        </w:t>
      </w:r>
    </w:p>
  </w:footnote>
  <w:footnote w:id="32194">
    <w:p>
      <w:pPr>
        <w:pStyle w:val="FootnoteText"/>
      </w:pPr>
      <w:r>
        <w:rPr>
          <w:rStyle w:val="FootnoteReference"/>
        </w:rPr>
        <w:footnoteRef/>
      </w:r>
      <w:r>
        <w:t xml:space="preserve">
          <w:r>
            <w:t xml:space="preserve">
              <w:r>
                <w:t xml:space="preserve"> About 30 feet (9.1 meters)</w:t>
              </w:r>
            </w:t>
          </w:r>
        </w:t>
      </w:r>
    </w:p>
  </w:footnote>
  <w:footnote w:id="31285">
    <w:p>
      <w:pPr>
        <w:pStyle w:val="FootnoteText"/>
      </w:pPr>
      <w:r>
        <w:rPr>
          <w:rStyle w:val="FootnoteReference"/>
        </w:rPr>
        <w:footnoteRef/>
      </w:r>
      <w:r>
        <w:t xml:space="preserve">
          <w:r>
            <w:t xml:space="preserve">
              <w:r>
                <w:t xml:space="preserve"> About 45 feet (13.7 meters)</w:t>
              </w:r>
            </w:t>
          </w:r>
        </w:t>
      </w:r>
    </w:p>
  </w:footnote>
  <w:footnote w:id="27607">
    <w:p>
      <w:pPr>
        <w:pStyle w:val="FootnoteText"/>
      </w:pPr>
      <w:r>
        <w:rPr>
          <w:rStyle w:val="FootnoteReference"/>
        </w:rPr>
        <w:footnoteRef/>
      </w:r>
      <w:r>
        <w:t xml:space="preserve">
          <w:r>
            <w:t xml:space="preserve">
              <w:r>
                <w:t xml:space="preserve"> The “house” is the Temple.</w:t>
              </w:r>
            </w:t>
          </w:r>
        </w:t>
      </w:r>
    </w:p>
  </w:footnote>
  <w:footnote w:id="30578">
    <w:p>
      <w:pPr>
        <w:pStyle w:val="FootnoteText"/>
      </w:pPr>
      <w:r>
        <w:rPr>
          <w:rStyle w:val="FootnoteReference"/>
        </w:rPr>
        <w:footnoteRef/>
      </w:r>
      <w:r>
        <w:t xml:space="preserve">
          <w:r>
            <w:t xml:space="preserve">
              <w:r>
                <w:t xml:space="preserve"> About 30 feet (9.1 meters)</w:t>
              </w:r>
            </w:t>
          </w:r>
        </w:t>
      </w:r>
    </w:p>
  </w:footnote>
  <w:footnote w:id="12696">
    <w:p>
      <w:pPr>
        <w:pStyle w:val="FootnoteText"/>
      </w:pPr>
      <w:r>
        <w:rPr>
          <w:rStyle w:val="FootnoteReference"/>
        </w:rPr>
        <w:footnoteRef/>
      </w:r>
      <w:r>
        <w:t xml:space="preserve">
          <w:r>
            <w:t xml:space="preserve">
              <w:r>
                <w:t xml:space="preserve"> About 15 feet (4.6 meters)</w:t>
              </w:r>
            </w:t>
          </w:r>
        </w:t>
      </w:r>
    </w:p>
  </w:footnote>
  <w:footnote w:id="22237">
    <w:p>
      <w:pPr>
        <w:pStyle w:val="FootnoteText"/>
      </w:pPr>
      <w:r>
        <w:rPr>
          <w:rStyle w:val="FootnoteReference"/>
        </w:rPr>
        <w:footnoteRef/>
      </w:r>
      <w:r>
        <w:t xml:space="preserve">
          <w:r>
            <w:t xml:space="preserve">
              <w:r>
                <w:t xml:space="preserve"> MT reads “middle”</w:t>
              </w:r>
            </w:t>
          </w:r>
        </w:t>
      </w:r>
    </w:p>
  </w:footnote>
  <w:footnote w:id="22302">
    <w:p>
      <w:pPr>
        <w:pStyle w:val="FootnoteText"/>
      </w:pPr>
      <w:r>
        <w:rPr>
          <w:rStyle w:val="FootnoteReference"/>
        </w:rPr>
        <w:footnoteRef/>
      </w:r>
      <w:r>
        <w:t xml:space="preserve">
          <w:r>
            <w:t xml:space="preserve">
              <w:r>
                <w:t xml:space="preserve"> 7.5 feet (2.3 meters)</w:t>
              </w:r>
            </w:t>
          </w:r>
        </w:t>
      </w:r>
    </w:p>
  </w:footnote>
  <w:footnote w:id="31568">
    <w:p>
      <w:pPr>
        <w:pStyle w:val="FootnoteText"/>
      </w:pPr>
      <w:r>
        <w:rPr>
          <w:rStyle w:val="FootnoteReference"/>
        </w:rPr>
        <w:footnoteRef/>
      </w:r>
      <w:r>
        <w:t xml:space="preserve">
          <w:r>
            <w:t xml:space="preserve">
              <w:r>
                <w:t xml:space="preserve"> 60 feet (18.3 meters)</w:t>
              </w:r>
            </w:t>
          </w:r>
        </w:t>
      </w:r>
    </w:p>
  </w:footnote>
  <w:footnote w:id="20872">
    <w:p>
      <w:pPr>
        <w:pStyle w:val="FootnoteText"/>
      </w:pPr>
      <w:r>
        <w:rPr>
          <w:rStyle w:val="FootnoteReference"/>
        </w:rPr>
        <w:footnoteRef/>
      </w:r>
      <w:r>
        <w:t xml:space="preserve">
          <w:r>
            <w:t xml:space="preserve">
              <w:r>
                <w:t xml:space="preserve"> 30 feet (9.1 meters)</w:t>
              </w:r>
            </w:t>
          </w:r>
        </w:t>
      </w:r>
    </w:p>
  </w:footnote>
  <w:footnote w:id="19962">
    <w:p>
      <w:pPr>
        <w:pStyle w:val="FootnoteText"/>
      </w:pPr>
      <w:r>
        <w:rPr>
          <w:rStyle w:val="FootnoteReference"/>
        </w:rPr>
        <w:footnoteRef/>
      </w:r>
      <w:r>
        <w:t xml:space="preserve">
          <w:r>
            <w:t xml:space="preserve">
              <w:r>
                <w:t xml:space="preserve"> 15 feet (4.6 meters)</w:t>
              </w:r>
            </w:t>
          </w:r>
        </w:t>
      </w:r>
    </w:p>
  </w:footnote>
  <w:footnote w:id="27911">
    <w:p>
      <w:pPr>
        <w:pStyle w:val="FootnoteText"/>
      </w:pPr>
      <w:r>
        <w:rPr>
          <w:rStyle w:val="FootnoteReference"/>
        </w:rPr>
        <w:footnoteRef/>
      </w:r>
      <w:r>
        <w:t xml:space="preserve">
          <w:r>
            <w:t xml:space="preserve">
              <w:r>
                <w:t xml:space="preserve"> 7.5 feet (2.3 meters)</w:t>
              </w:r>
            </w:t>
          </w:r>
        </w:t>
      </w:r>
    </w:p>
  </w:footnote>
  <w:footnote w:id="27645">
    <w:p>
      <w:pPr>
        <w:pStyle w:val="FootnoteText"/>
      </w:pPr>
      <w:r>
        <w:rPr>
          <w:rStyle w:val="FootnoteReference"/>
        </w:rPr>
        <w:footnoteRef/>
      </w:r>
      <w:r>
        <w:t xml:space="preserve">
          <w:r>
            <w:t xml:space="preserve">
              <w:r>
                <w:t xml:space="preserve"> 15 feet (4.6 meters)</w:t>
              </w:r>
            </w:t>
          </w:r>
        </w:t>
      </w:r>
    </w:p>
  </w:footnote>
  <w:footnote w:id="28845">
    <w:p>
      <w:pPr>
        <w:pStyle w:val="FootnoteText"/>
      </w:pPr>
      <w:r>
        <w:rPr>
          <w:rStyle w:val="FootnoteReference"/>
        </w:rPr>
        <w:footnoteRef/>
      </w:r>
      <w:r>
        <w:t xml:space="preserve">
          <w:r>
            <w:t xml:space="preserve">
              <w:r>
                <w:t xml:space="preserve"> 150 feet (45.7 meters)</w:t>
              </w:r>
            </w:t>
          </w:r>
        </w:t>
      </w:r>
    </w:p>
  </w:footnote>
  <w:footnote w:id="28117">
    <w:p>
      <w:pPr>
        <w:pStyle w:val="FootnoteText"/>
      </w:pPr>
      <w:r>
        <w:rPr>
          <w:rStyle w:val="FootnoteReference"/>
        </w:rPr>
        <w:footnoteRef/>
      </w:r>
      <w:r>
        <w:t xml:space="preserve">
          <w:r>
            <w:t xml:space="preserve">
              <w:r>
                <w:t xml:space="preserve"> 75 feet (23 meters)</w:t>
              </w:r>
            </w:t>
          </w:r>
        </w:t>
      </w:r>
    </w:p>
  </w:footnote>
  <w:footnote w:id="31338">
    <w:p>
      <w:pPr>
        <w:pStyle w:val="FootnoteText"/>
      </w:pPr>
      <w:r>
        <w:rPr>
          <w:rStyle w:val="FootnoteReference"/>
        </w:rPr>
        <w:footnoteRef/>
      </w:r>
      <w:r>
        <w:t xml:space="preserve">
          <w:r>
            <w:t xml:space="preserve">
              <w:r>
                <w:t xml:space="preserve"> 45 feet (13.7 meters)</w:t>
              </w:r>
            </w:t>
          </w:r>
        </w:t>
      </w:r>
    </w:p>
  </w:footnote>
  <w:footnote w:id="12236">
    <w:p>
      <w:pPr>
        <w:pStyle w:val="FootnoteText"/>
      </w:pPr>
      <w:r>
        <w:rPr>
          <w:rStyle w:val="FootnoteReference"/>
        </w:rPr>
        <w:footnoteRef/>
      </w:r>
      <w:r>
        <w:t xml:space="preserve">
          <w:r>
            <w:t xml:space="preserve">
              <w:r>
                <w:t xml:space="preserve"> “Coping.” The uppermost course of stone in a wall</w:t>
              </w:r>
            </w:t>
          </w:r>
        </w:t>
      </w:r>
    </w:p>
  </w:footnote>
  <w:footnote w:id="30569">
    <w:p>
      <w:pPr>
        <w:pStyle w:val="FootnoteText"/>
      </w:pPr>
      <w:r>
        <w:rPr>
          <w:rStyle w:val="FootnoteReference"/>
        </w:rPr>
        <w:footnoteRef/>
      </w:r>
      <w:r>
        <w:t xml:space="preserve">
          <w:r>
            <w:t xml:space="preserve">
              <w:r>
                <w:t xml:space="preserve"> 15 feet (4.6 meters)</w:t>
              </w:r>
            </w:t>
          </w:r>
        </w:t>
      </w:r>
    </w:p>
  </w:footnote>
  <w:footnote w:id="28601">
    <w:p>
      <w:pPr>
        <w:pStyle w:val="FootnoteText"/>
      </w:pPr>
      <w:r>
        <w:rPr>
          <w:rStyle w:val="FootnoteReference"/>
        </w:rPr>
        <w:footnoteRef/>
      </w:r>
      <w:r>
        <w:t xml:space="preserve">
          <w:r>
            <w:t xml:space="preserve">
              <w:r>
                <w:t xml:space="preserve"> 12 feet (3.7 meters)</w:t>
              </w:r>
            </w:t>
          </w:r>
        </w:t>
      </w:r>
    </w:p>
  </w:footnote>
  <w:footnote w:id="10465">
    <w:p>
      <w:pPr>
        <w:pStyle w:val="FootnoteText"/>
      </w:pPr>
      <w:r>
        <w:rPr>
          <w:rStyle w:val="FootnoteReference"/>
        </w:rPr>
        <w:footnoteRef/>
      </w:r>
      <w:r>
        <w:t xml:space="preserve">
          <w:r>
            <w:t xml:space="preserve">
              <w:r>
                <w:t xml:space="preserve"> 27 feet high (8.2 meters)</w:t>
              </w:r>
            </w:t>
          </w:r>
        </w:t>
      </w:r>
    </w:p>
  </w:footnote>
  <w:footnote w:id="32072">
    <w:p>
      <w:pPr>
        <w:pStyle w:val="FootnoteText"/>
      </w:pPr>
      <w:r>
        <w:rPr>
          <w:rStyle w:val="FootnoteReference"/>
        </w:rPr>
        <w:footnoteRef/>
      </w:r>
      <w:r>
        <w:t xml:space="preserve">
          <w:r>
            <w:t xml:space="preserve">
              <w:r>
                <w:t xml:space="preserve"> 18 feet in circumference (5.5 meters)</w:t>
              </w:r>
            </w:t>
          </w:r>
        </w:t>
      </w:r>
    </w:p>
  </w:footnote>
  <w:footnote w:id="17882">
    <w:p>
      <w:pPr>
        <w:pStyle w:val="FootnoteText"/>
      </w:pPr>
      <w:r>
        <w:rPr>
          <w:rStyle w:val="FootnoteReference"/>
        </w:rPr>
        <w:footnoteRef/>
      </w:r>
      <w:r>
        <w:t xml:space="preserve">
          <w:r>
            <w:t xml:space="preserve">
              <w:r>
                <w:t xml:space="preserve"> 7.5 feet (2.3 meters)</w:t>
              </w:r>
            </w:t>
          </w:r>
        </w:t>
      </w:r>
    </w:p>
  </w:footnote>
  <w:footnote w:id="29168">
    <w:p>
      <w:pPr>
        <w:pStyle w:val="FootnoteText"/>
      </w:pPr>
      <w:r>
        <w:rPr>
          <w:rStyle w:val="FootnoteReference"/>
        </w:rPr>
        <w:footnoteRef/>
      </w:r>
      <w:r>
        <w:t xml:space="preserve">
          <w:r>
            <w:t xml:space="preserve">
              <w:r>
                <w:t xml:space="preserve"> 6 feet (1.8 meters)</w:t>
              </w:r>
            </w:t>
          </w:r>
        </w:t>
      </w:r>
    </w:p>
  </w:footnote>
  <w:footnote w:id="17232">
    <w:p>
      <w:pPr>
        <w:pStyle w:val="FootnoteText"/>
      </w:pPr>
      <w:r>
        <w:rPr>
          <w:rStyle w:val="FootnoteReference"/>
        </w:rPr>
        <w:footnoteRef/>
      </w:r>
      <w:r>
        <w:t xml:space="preserve">
          <w:r>
            <w:t xml:space="preserve">
              <w:r>
                <w:t xml:space="preserve"> 15 feet (4.6 meters)</w:t>
              </w:r>
            </w:t>
          </w:r>
        </w:t>
      </w:r>
    </w:p>
  </w:footnote>
  <w:footnote w:id="13638">
    <w:p>
      <w:pPr>
        <w:pStyle w:val="FootnoteText"/>
      </w:pPr>
      <w:r>
        <w:rPr>
          <w:rStyle w:val="FootnoteReference"/>
        </w:rPr>
        <w:footnoteRef/>
      </w:r>
      <w:r>
        <w:t xml:space="preserve">
          <w:r>
            <w:t xml:space="preserve">
              <w:r>
                <w:t xml:space="preserve"> 7.5 feet (2.3 meters)</w:t>
              </w:r>
            </w:t>
          </w:r>
        </w:t>
      </w:r>
    </w:p>
  </w:footnote>
  <w:footnote w:id="25301">
    <w:p>
      <w:pPr>
        <w:pStyle w:val="FootnoteText"/>
      </w:pPr>
      <w:r>
        <w:rPr>
          <w:rStyle w:val="FootnoteReference"/>
        </w:rPr>
        <w:footnoteRef/>
      </w:r>
      <w:r>
        <w:t xml:space="preserve">
          <w:r>
            <w:t xml:space="preserve">
              <w:r>
                <w:t xml:space="preserve"> 45 feet (13.7 meters)</w:t>
              </w:r>
            </w:t>
          </w:r>
        </w:t>
      </w:r>
    </w:p>
  </w:footnote>
  <w:footnote w:id="24508">
    <w:p>
      <w:pPr>
        <w:pStyle w:val="FootnoteText"/>
      </w:pPr>
      <w:r>
        <w:rPr>
          <w:rStyle w:val="FootnoteReference"/>
        </w:rPr>
        <w:footnoteRef/>
      </w:r>
      <w:r>
        <w:t xml:space="preserve">
          <w:r>
            <w:t xml:space="preserve">
              <w:r>
                <w:t xml:space="preserve"> 18 inches (45.7 centimeters)</w:t>
              </w:r>
            </w:t>
          </w:r>
        </w:t>
      </w:r>
    </w:p>
  </w:footnote>
  <w:footnote w:id="26005">
    <w:p>
      <w:pPr>
        <w:pStyle w:val="FootnoteText"/>
      </w:pPr>
      <w:r>
        <w:rPr>
          <w:rStyle w:val="FootnoteReference"/>
        </w:rPr>
        <w:footnoteRef/>
      </w:r>
      <w:r>
        <w:t xml:space="preserve">
          <w:r>
            <w:t xml:space="preserve">
              <w:r>
                <w:t xml:space="preserve"> About 4 inches (10 centimeters)</w:t>
              </w:r>
            </w:t>
          </w:r>
        </w:t>
      </w:r>
    </w:p>
  </w:footnote>
  <w:footnote w:id="18673">
    <w:p>
      <w:pPr>
        <w:pStyle w:val="FootnoteText"/>
      </w:pPr>
      <w:r>
        <w:rPr>
          <w:rStyle w:val="FootnoteReference"/>
        </w:rPr>
        <w:footnoteRef/>
      </w:r>
      <w:r>
        <w:t xml:space="preserve">
          <w:r>
            <w:t xml:space="preserve">
              <w:r>
                <w:t xml:space="preserve"> 6 feet (1.82 meters)</w:t>
              </w:r>
            </w:t>
          </w:r>
        </w:t>
      </w:r>
    </w:p>
  </w:footnote>
  <w:footnote w:id="17997">
    <w:p>
      <w:pPr>
        <w:pStyle w:val="FootnoteText"/>
      </w:pPr>
      <w:r>
        <w:rPr>
          <w:rStyle w:val="FootnoteReference"/>
        </w:rPr>
        <w:footnoteRef/>
      </w:r>
      <w:r>
        <w:t xml:space="preserve">
          <w:r>
            <w:t xml:space="preserve">
              <w:r>
                <w:t xml:space="preserve"> 4.5 feet (137.1 centimeters)</w:t>
              </w:r>
            </w:t>
          </w:r>
        </w:t>
      </w:r>
    </w:p>
  </w:footnote>
  <w:footnote w:id="28012">
    <w:p>
      <w:pPr>
        <w:pStyle w:val="FootnoteText"/>
      </w:pPr>
      <w:r>
        <w:rPr>
          <w:rStyle w:val="FootnoteReference"/>
        </w:rPr>
        <w:footnoteRef/>
      </w:r>
      <w:r>
        <w:t xml:space="preserve">
          <w:r>
            <w:t xml:space="preserve">
              <w:r>
                <w:t xml:space="preserve"> 18 inches (45.7 centimeters)</w:t>
              </w:r>
            </w:t>
          </w:r>
        </w:t>
      </w:r>
    </w:p>
  </w:footnote>
  <w:footnote w:id="30949">
    <w:p>
      <w:pPr>
        <w:pStyle w:val="FootnoteText"/>
      </w:pPr>
      <w:r>
        <w:rPr>
          <w:rStyle w:val="FootnoteReference"/>
        </w:rPr>
        <w:footnoteRef/>
      </w:r>
      <w:r>
        <w:t xml:space="preserve">
          <w:r>
            <w:t xml:space="preserve">
              <w:r>
                <w:t xml:space="preserve"> 27 inches (68.6 centimeters)</w:t>
              </w:r>
            </w:t>
          </w:r>
        </w:t>
      </w:r>
    </w:p>
  </w:footnote>
  <w:footnote w:id="20898">
    <w:p>
      <w:pPr>
        <w:pStyle w:val="FootnoteText"/>
      </w:pPr>
      <w:r>
        <w:rPr>
          <w:rStyle w:val="FootnoteReference"/>
        </w:rPr>
        <w:footnoteRef/>
      </w:r>
      <w:r>
        <w:t xml:space="preserve">
          <w:r>
            <w:t xml:space="preserve">
              <w:r>
                <w:t xml:space="preserve"> 27 inches (68.6 centimeters)</w:t>
              </w:r>
            </w:t>
          </w:r>
        </w:t>
      </w:r>
    </w:p>
  </w:footnote>
  <w:footnote w:id="25554">
    <w:p>
      <w:pPr>
        <w:pStyle w:val="FootnoteText"/>
      </w:pPr>
      <w:r>
        <w:rPr>
          <w:rStyle w:val="FootnoteReference"/>
        </w:rPr>
        <w:footnoteRef/>
      </w:r>
      <w:r>
        <w:t xml:space="preserve">
          <w:r>
            <w:t xml:space="preserve">
              <w:r>
                <w:t xml:space="preserve"> 6 feet (1.8 meters)</w:t>
              </w:r>
            </w:t>
          </w:r>
        </w:t>
      </w:r>
    </w:p>
  </w:footnote>
  <w:footnote w:id="13278">
    <w:p>
      <w:pPr>
        <w:pStyle w:val="FootnoteText"/>
      </w:pPr>
      <w:r>
        <w:rPr>
          <w:rStyle w:val="FootnoteReference"/>
        </w:rPr>
        <w:footnoteRef/>
      </w:r>
      <w:r>
        <w:t xml:space="preserve">
          <w:r>
            <w:t xml:space="preserve">
              <w:r>
                <w:t xml:space="preserve"> His officials and leaders</w:t>
              </w:r>
            </w:t>
          </w:r>
        </w:t>
      </w:r>
    </w:p>
  </w:footnote>
  <w:footnote w:id="19999">
    <w:p>
      <w:pPr>
        <w:pStyle w:val="FootnoteText"/>
      </w:pPr>
      <w:r>
        <w:rPr>
          <w:rStyle w:val="FootnoteReference"/>
        </w:rPr>
        <w:footnoteRef/>
      </w:r>
      <w:r>
        <w:t xml:space="preserve">
          <w:r>
            <w:t xml:space="preserve">
              <w:r>
                <w:t xml:space="preserve"> Roughly 15 pounds (6.8 kilograms)</w:t>
              </w:r>
            </w:t>
          </w:r>
        </w:t>
      </w:r>
    </w:p>
  </w:footnote>
  <w:footnote w:id="30343">
    <w:p>
      <w:pPr>
        <w:pStyle w:val="FootnoteText"/>
      </w:pPr>
      <w:r>
        <w:rPr>
          <w:rStyle w:val="FootnoteReference"/>
        </w:rPr>
        <w:footnoteRef/>
      </w:r>
      <w:r>
        <w:t xml:space="preserve">
          <w:r>
            <w:t xml:space="preserve">
              <w:r>
                <w:t xml:space="preserve"> Roughly 15 pounds (6.8 kilograms)</w:t>
              </w:r>
            </w:t>
          </w:r>
        </w:t>
      </w:r>
    </w:p>
  </w:footnote>
  <w:footnote w:id="16705">
    <w:p>
      <w:pPr>
        <w:pStyle w:val="FootnoteText"/>
      </w:pPr>
      <w:r>
        <w:rPr>
          <w:rStyle w:val="FootnoteReference"/>
        </w:rPr>
        <w:footnoteRef/>
      </w:r>
      <w:r>
        <w:t xml:space="preserve">
          <w:r>
            <w:t xml:space="preserve">
              <w:r>
                <w:t xml:space="preserve"> Roughly 3.75 pounds (1.7 kilograms)</w:t>
              </w:r>
            </w:t>
          </w:r>
        </w:t>
      </w:r>
    </w:p>
  </w:footnote>
  <w:footnote w:id="31223">
    <w:p>
      <w:pPr>
        <w:pStyle w:val="FootnoteText"/>
      </w:pPr>
      <w:r>
        <w:rPr>
          <w:rStyle w:val="FootnoteReference"/>
        </w:rPr>
        <w:footnoteRef/>
      </w:r>
      <w:r>
        <w:t xml:space="preserve">
          <w:r>
            <w:t xml:space="preserve">
              <w:r>
                <w:t xml:space="preserve"> Likely “grandmother”</w:t>
              </w:r>
            </w:t>
          </w:r>
        </w:t>
      </w:r>
    </w:p>
  </w:footnote>
  <w:footnote w:id="29606">
    <w:p>
      <w:pPr>
        <w:pStyle w:val="FootnoteText"/>
      </w:pPr>
      <w:r>
        <w:rPr>
          <w:rStyle w:val="FootnoteReference"/>
        </w:rPr>
        <w:footnoteRef/>
      </w:r>
      <w:r>
        <w:t xml:space="preserve">
          <w:r>
            <w:t xml:space="preserve">
              <w:r>
                <w:t xml:space="preserve"> Referring to Ahab, king of Israel</w:t>
              </w:r>
            </w:t>
          </w:r>
        </w:t>
      </w:r>
    </w:p>
  </w:footnote>
  <w:footnote w:id="22427">
    <w:p>
      <w:pPr>
        <w:pStyle w:val="FootnoteText"/>
      </w:pPr>
      <w:r>
        <w:rPr>
          <w:rStyle w:val="FootnoteReference"/>
        </w:rPr>
        <w:footnoteRef/>
      </w:r>
      <w:r>
        <w:t xml:space="preserve">
          <w:r>
            <w:t xml:space="preserve">
              <w:r>
                <w:t xml:space="preserve"> Or “eunuch,” the Hebrew word can mean either, or both.</w:t>
              </w:r>
            </w:t>
          </w:r>
        </w:t>
      </w:r>
    </w:p>
  </w:footnote>
  <w:footnote w:id="21855">
    <w:p>
      <w:pPr>
        <w:pStyle w:val="FootnoteText"/>
      </w:pPr>
      <w:r>
        <w:rPr>
          <w:rStyle w:val="FootnoteReference"/>
        </w:rPr>
        <w:footnoteRef/>
      </w:r>
      <w:r>
        <w:t xml:space="preserve">
          <w:r>
            <w:t xml:space="preserve">
              <w:r>
                <w:t xml:space="preserve"> Lit. “the bread of oppression and the water of oppression”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839876">
    <w:multiLevelType w:val="hybridMultilevel"/>
    <w:lvl w:ilvl="0" w:tplc="73097387">
      <w:start w:val="1"/>
      <w:numFmt w:val="decimal"/>
      <w:lvlText w:val="%1."/>
      <w:lvlJc w:val="left"/>
      <w:pPr>
        <w:ind w:left="720" w:hanging="360"/>
      </w:pPr>
    </w:lvl>
    <w:lvl w:ilvl="1" w:tplc="73097387" w:tentative="1">
      <w:start w:val="1"/>
      <w:numFmt w:val="lowerLetter"/>
      <w:lvlText w:val="%2."/>
      <w:lvlJc w:val="left"/>
      <w:pPr>
        <w:ind w:left="1440" w:hanging="360"/>
      </w:pPr>
    </w:lvl>
    <w:lvl w:ilvl="2" w:tplc="73097387" w:tentative="1">
      <w:start w:val="1"/>
      <w:numFmt w:val="lowerRoman"/>
      <w:lvlText w:val="%3."/>
      <w:lvlJc w:val="right"/>
      <w:pPr>
        <w:ind w:left="2160" w:hanging="180"/>
      </w:pPr>
    </w:lvl>
    <w:lvl w:ilvl="3" w:tplc="73097387" w:tentative="1">
      <w:start w:val="1"/>
      <w:numFmt w:val="decimal"/>
      <w:lvlText w:val="%4."/>
      <w:lvlJc w:val="left"/>
      <w:pPr>
        <w:ind w:left="2880" w:hanging="360"/>
      </w:pPr>
    </w:lvl>
    <w:lvl w:ilvl="4" w:tplc="73097387" w:tentative="1">
      <w:start w:val="1"/>
      <w:numFmt w:val="lowerLetter"/>
      <w:lvlText w:val="%5."/>
      <w:lvlJc w:val="left"/>
      <w:pPr>
        <w:ind w:left="3600" w:hanging="360"/>
      </w:pPr>
    </w:lvl>
    <w:lvl w:ilvl="5" w:tplc="73097387" w:tentative="1">
      <w:start w:val="1"/>
      <w:numFmt w:val="lowerRoman"/>
      <w:lvlText w:val="%6."/>
      <w:lvlJc w:val="right"/>
      <w:pPr>
        <w:ind w:left="4320" w:hanging="180"/>
      </w:pPr>
    </w:lvl>
    <w:lvl w:ilvl="6" w:tplc="73097387" w:tentative="1">
      <w:start w:val="1"/>
      <w:numFmt w:val="decimal"/>
      <w:lvlText w:val="%7."/>
      <w:lvlJc w:val="left"/>
      <w:pPr>
        <w:ind w:left="5040" w:hanging="360"/>
      </w:pPr>
    </w:lvl>
    <w:lvl w:ilvl="7" w:tplc="73097387" w:tentative="1">
      <w:start w:val="1"/>
      <w:numFmt w:val="lowerLetter"/>
      <w:lvlText w:val="%8."/>
      <w:lvlJc w:val="left"/>
      <w:pPr>
        <w:ind w:left="5760" w:hanging="360"/>
      </w:pPr>
    </w:lvl>
    <w:lvl w:ilvl="8" w:tplc="73097387" w:tentative="1">
      <w:start w:val="1"/>
      <w:numFmt w:val="lowerRoman"/>
      <w:lvlText w:val="%9."/>
      <w:lvlJc w:val="right"/>
      <w:pPr>
        <w:ind w:left="6480" w:hanging="180"/>
      </w:pPr>
    </w:lvl>
  </w:abstractNum>
  <w:abstractNum w:abstractNumId="27378">
    <w:multiLevelType w:val="hybridMultilevel"/>
    <w:lvl w:ilvl="0" w:tplc="193865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378">
    <w:abstractNumId w:val="27378"/>
  </w:num>
  <w:num w:numId="58839876">
    <w:abstractNumId w:val="588398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6918716" Type="http://schemas.openxmlformats.org/officeDocument/2006/relationships/numbering" Target="numbering.xml"/><Relationship Id="rId995701907" Type="http://schemas.openxmlformats.org/officeDocument/2006/relationships/comments" Target="comments.xml"/><Relationship Id="rId373468680f2046f3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