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w:t>
            </w:r>
            <w:r>
              <w:rPr>
                <w:rStyle w:val="FootnoteReference"/>
              </w:rPr>
              <w:footnoteReference w:id="24868"/>
            </w:r>
            <w:r>
              <w:rPr/>
              <w:t xml:space="preserve"> says the Sage;</w:t>
            </w:r>
          </w:p>
          <w:p>
            <w:pPr>
              <w:pStyle w:val="rHP"/>
              <w:widowControl w:val="on"/>
            </w:pPr>
            <w:r>
              <w:rPr/>
              <w:t xml:space="preserve">“Utterly pointless! Everything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FootnoteReference"/>
              </w:rPr>
              <w:footnoteReference w:id="17705"/>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FootnoteReference"/>
        </w:rPr>
        <w:footnoteReference w:id="11383"/>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too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FootnoteReference"/>
        </w:rPr>
        <w:footnoteReference w:id="28625"/>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steps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the profit of the land is taken by all, even the king is served by the land.</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FootnoteReference"/>
        </w:rPr>
        <w:footnoteReference w:id="19398"/>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think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FootnoteReference"/>
        </w:rPr>
        <w:footnoteReference w:id="28219"/>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FootnoteReference"/>
              </w:rPr>
              <w:footnoteReference w:id="11159"/>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FootnoteReference"/>
        </w:rPr>
        <w:footnoteReference w:id="27666"/>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FootnoteReference"/>
              </w:rPr>
              <w:footnoteReference w:id="16165"/>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303268680f2bae67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88366"/>
      <w:docPartObj>
        <w:docPartGallery w:val="Page Numbers (Bottom of Page)"/>
        <w:docPartUnique/>
      </w:docPartObj>
    </w:sdtPr>
    <w:sdtContent>
      <w:sdt>
        <w:sdtPr>
          <w:id w:val="6770626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868">
    <w:p>
      <w:pPr>
        <w:pStyle w:val="FootnoteText"/>
      </w:pPr>
      <w:r>
        <w:rPr>
          <w:rStyle w:val="FootnoteReference"/>
        </w:rPr>
        <w:footnoteRef/>
      </w:r>
      <w:r>
        <w:t xml:space="preserve">
          <w:r>
            <w:t xml:space="preserve">
              <w:r>
                <w:t xml:space="preserve"> The Hebrew word also means “meaningless,” “incomprehensible,” “absurd,” and “temporary or fleeting.”</w:t>
              </w:r>
            </w:t>
          </w:r>
        </w:t>
      </w:r>
    </w:p>
  </w:footnote>
  <w:footnote w:id="17705">
    <w:p>
      <w:pPr>
        <w:pStyle w:val="FootnoteText"/>
      </w:pPr>
      <w:r>
        <w:rPr>
          <w:rStyle w:val="FootnoteReference"/>
        </w:rPr>
        <w:footnoteRef/>
      </w:r>
      <w:r>
        <w:t xml:space="preserve">
          <w:r>
            <w:t xml:space="preserve">
              <w:r>
                <w:t xml:space="preserve"> Or “former people...those people”</w:t>
              </w:r>
            </w:t>
          </w:r>
        </w:t>
      </w:r>
    </w:p>
  </w:footnote>
  <w:footnote w:id="11383">
    <w:p>
      <w:pPr>
        <w:pStyle w:val="FootnoteText"/>
      </w:pPr>
      <w:r>
        <w:rPr>
          <w:rStyle w:val="FootnoteReference"/>
        </w:rPr>
        <w:footnoteRef/>
      </w:r>
      <w:r>
        <w:t xml:space="preserve">
          <w:r>
            <w:t xml:space="preserve">
              <w:r>
                <w:t xml:space="preserve"> Septuagint is “paradises”</w:t>
              </w:r>
            </w:t>
          </w:r>
        </w:t>
      </w:r>
    </w:p>
  </w:footnote>
  <w:footnote w:id="28625">
    <w:p>
      <w:pPr>
        <w:pStyle w:val="FootnoteText"/>
      </w:pPr>
      <w:r>
        <w:rPr>
          <w:rStyle w:val="FootnoteReference"/>
        </w:rPr>
        <w:footnoteRef/>
      </w:r>
      <w:r>
        <w:t xml:space="preserve">
          <w:r>
            <w:t xml:space="preserve">
              <w:r>
                <w:t xml:space="preserve"> Referring to the life force in the person or animal, also called “soul.”</w:t>
              </w:r>
            </w:t>
          </w:r>
        </w:t>
      </w:r>
    </w:p>
  </w:footnote>
  <w:footnote w:id="19398">
    <w:p>
      <w:pPr>
        <w:pStyle w:val="FootnoteText"/>
      </w:pPr>
      <w:r>
        <w:rPr>
          <w:rStyle w:val="FootnoteReference"/>
        </w:rPr>
        <w:footnoteRef/>
      </w:r>
      <w:r>
        <w:t xml:space="preserve">
          <w:r>
            <w:t xml:space="preserve">
              <w:r>
                <w:t xml:space="preserve"> Lit. “in his hand”</w:t>
              </w:r>
            </w:t>
          </w:r>
        </w:t>
      </w:r>
    </w:p>
  </w:footnote>
  <w:footnote w:id="28219">
    <w:p>
      <w:pPr>
        <w:pStyle w:val="FootnoteText"/>
      </w:pPr>
      <w:r>
        <w:rPr>
          <w:rStyle w:val="FootnoteReference"/>
        </w:rPr>
        <w:footnoteRef/>
      </w:r>
      <w:r>
        <w:t xml:space="preserve">
          <w:r>
            <w:t xml:space="preserve">
              <w:r>
                <w:t xml:space="preserve"> Lit. “Adam”</w:t>
              </w:r>
            </w:t>
          </w:r>
        </w:t>
      </w:r>
    </w:p>
  </w:footnote>
  <w:footnote w:id="11159">
    <w:p>
      <w:pPr>
        <w:pStyle w:val="FootnoteText"/>
      </w:pPr>
      <w:r>
        <w:rPr>
          <w:rStyle w:val="FootnoteReference"/>
        </w:rPr>
        <w:footnoteRef/>
      </w:r>
      <w:r>
        <w:t xml:space="preserve">
          <w:r>
            <w:t xml:space="preserve">
              <w:r>
                <w:t xml:space="preserve"> Lit. “shadow” or “shade,” a defense from the heat of the sun</w:t>
              </w:r>
            </w:t>
          </w:r>
        </w:t>
      </w:r>
    </w:p>
  </w:footnote>
  <w:footnote w:id="27666">
    <w:p>
      <w:pPr>
        <w:pStyle w:val="FootnoteText"/>
      </w:pPr>
      <w:r>
        <w:rPr>
          <w:rStyle w:val="FootnoteReference"/>
        </w:rPr>
        <w:footnoteRef/>
      </w:r>
      <w:r>
        <w:t xml:space="preserve">
          <w:r>
            <w:t xml:space="preserve">
              <w:r>
                <w:t xml:space="preserve"> Or “wind”</w:t>
              </w:r>
            </w:t>
          </w:r>
        </w:t>
      </w:r>
    </w:p>
  </w:footnote>
  <w:footnote w:id="16165">
    <w:p>
      <w:pPr>
        <w:pStyle w:val="FootnoteText"/>
      </w:pPr>
      <w:r>
        <w:rPr>
          <w:rStyle w:val="FootnoteReference"/>
        </w:rPr>
        <w:footnoteRef/>
      </w:r>
      <w:r>
        <w:t xml:space="preserve">
          <w:r>
            <w:t xml:space="preserve">
              <w:r>
                <w:t xml:space="preserve"> Idiom: of noble character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094087">
    <w:multiLevelType w:val="hybridMultilevel"/>
    <w:lvl w:ilvl="0" w:tplc="29011472">
      <w:start w:val="1"/>
      <w:numFmt w:val="decimal"/>
      <w:lvlText w:val="%1."/>
      <w:lvlJc w:val="left"/>
      <w:pPr>
        <w:ind w:left="720" w:hanging="360"/>
      </w:pPr>
    </w:lvl>
    <w:lvl w:ilvl="1" w:tplc="29011472" w:tentative="1">
      <w:start w:val="1"/>
      <w:numFmt w:val="lowerLetter"/>
      <w:lvlText w:val="%2."/>
      <w:lvlJc w:val="left"/>
      <w:pPr>
        <w:ind w:left="1440" w:hanging="360"/>
      </w:pPr>
    </w:lvl>
    <w:lvl w:ilvl="2" w:tplc="29011472" w:tentative="1">
      <w:start w:val="1"/>
      <w:numFmt w:val="lowerRoman"/>
      <w:lvlText w:val="%3."/>
      <w:lvlJc w:val="right"/>
      <w:pPr>
        <w:ind w:left="2160" w:hanging="180"/>
      </w:pPr>
    </w:lvl>
    <w:lvl w:ilvl="3" w:tplc="29011472" w:tentative="1">
      <w:start w:val="1"/>
      <w:numFmt w:val="decimal"/>
      <w:lvlText w:val="%4."/>
      <w:lvlJc w:val="left"/>
      <w:pPr>
        <w:ind w:left="2880" w:hanging="360"/>
      </w:pPr>
    </w:lvl>
    <w:lvl w:ilvl="4" w:tplc="29011472" w:tentative="1">
      <w:start w:val="1"/>
      <w:numFmt w:val="lowerLetter"/>
      <w:lvlText w:val="%5."/>
      <w:lvlJc w:val="left"/>
      <w:pPr>
        <w:ind w:left="3600" w:hanging="360"/>
      </w:pPr>
    </w:lvl>
    <w:lvl w:ilvl="5" w:tplc="29011472" w:tentative="1">
      <w:start w:val="1"/>
      <w:numFmt w:val="lowerRoman"/>
      <w:lvlText w:val="%6."/>
      <w:lvlJc w:val="right"/>
      <w:pPr>
        <w:ind w:left="4320" w:hanging="180"/>
      </w:pPr>
    </w:lvl>
    <w:lvl w:ilvl="6" w:tplc="29011472" w:tentative="1">
      <w:start w:val="1"/>
      <w:numFmt w:val="decimal"/>
      <w:lvlText w:val="%7."/>
      <w:lvlJc w:val="left"/>
      <w:pPr>
        <w:ind w:left="5040" w:hanging="360"/>
      </w:pPr>
    </w:lvl>
    <w:lvl w:ilvl="7" w:tplc="29011472" w:tentative="1">
      <w:start w:val="1"/>
      <w:numFmt w:val="lowerLetter"/>
      <w:lvlText w:val="%8."/>
      <w:lvlJc w:val="left"/>
      <w:pPr>
        <w:ind w:left="5760" w:hanging="360"/>
      </w:pPr>
    </w:lvl>
    <w:lvl w:ilvl="8" w:tplc="29011472" w:tentative="1">
      <w:start w:val="1"/>
      <w:numFmt w:val="lowerRoman"/>
      <w:lvlText w:val="%9."/>
      <w:lvlJc w:val="right"/>
      <w:pPr>
        <w:ind w:left="6480" w:hanging="180"/>
      </w:pPr>
    </w:lvl>
  </w:abstractNum>
  <w:abstractNum w:abstractNumId="5532">
    <w:multiLevelType w:val="hybridMultilevel"/>
    <w:lvl w:ilvl="0" w:tplc="591417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532">
    <w:abstractNumId w:val="5532"/>
  </w:num>
  <w:num w:numId="66094087">
    <w:abstractNumId w:val="660940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6761475" Type="http://schemas.openxmlformats.org/officeDocument/2006/relationships/numbering" Target="numbering.xml"/><Relationship Id="rId693294367" Type="http://schemas.openxmlformats.org/officeDocument/2006/relationships/comments" Target="comments.xml"/><Relationship Id="rId303268680f2bae67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