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FootnoteReference"/>
        </w:rPr>
        <w:footnoteReference w:id="22317"/>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w:t>
      </w:r>
      <w:r>
        <w:rPr>
          <w:i/>
          <w:iCs/>
        </w:rPr>
        <w:t xml:space="preserve">between</w:t>
      </w:r>
      <w:r>
        <w:rPr/>
        <w:t xml:space="preserve">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FootnoteReference"/>
        </w:rPr>
        <w:footnoteReference w:id="31231"/>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FootnoteReference"/>
        </w:rPr>
        <w:footnoteReference w:id="16642"/>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FootnoteReference"/>
        </w:rPr>
        <w:footnoteReference w:id="15772"/>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FootnoteReference"/>
        </w:rPr>
        <w:footnoteReference w:id="28448"/>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FootnoteReference"/>
        </w:rPr>
        <w:footnoteReference w:id="10913"/>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FootnoteReference"/>
        </w:rPr>
        <w:footnoteReference w:id="20018"/>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FootnoteReference"/>
        </w:rPr>
        <w:footnoteReference w:id="28424"/>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FootnoteReference"/>
        </w:rPr>
        <w:footnoteReference w:id="20541"/>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FootnoteReference"/>
        </w:rPr>
        <w:footnoteReference w:id="26939"/>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FootnoteReference"/>
              </w:rPr>
              <w:footnoteReference w:id="19346"/>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30154"/>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FootnoteReference"/>
        </w:rPr>
        <w:footnoteReference w:id="11452"/>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FootnoteReference"/>
        </w:rPr>
        <w:footnoteReference w:id="12683"/>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FootnoteReference"/>
        </w:rPr>
        <w:footnoteReference w:id="16026"/>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217768680f1fae02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87708"/>
      <w:docPartObj>
        <w:docPartGallery w:val="Page Numbers (Bottom of Page)"/>
        <w:docPartUnique/>
      </w:docPartObj>
    </w:sdtPr>
    <w:sdtContent>
      <w:sdt>
        <w:sdtPr>
          <w:id w:val="8212320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317">
    <w:p>
      <w:pPr>
        <w:pStyle w:val="FootnoteText"/>
      </w:pPr>
      <w:r>
        <w:rPr>
          <w:rStyle w:val="FootnoteReference"/>
        </w:rPr>
        <w:footnoteRef/>
      </w:r>
      <w:r>
        <w:t xml:space="preserve">
          <w:r>
            <w:t xml:space="preserve">
              <w:r>
                <w:t xml:space="preserve"> Lit. “the word of Abner was with the elders of Israel”</w:t>
              </w:r>
            </w:t>
          </w:r>
        </w:t>
      </w:r>
    </w:p>
  </w:footnote>
  <w:footnote w:id="31231">
    <w:p>
      <w:pPr>
        <w:pStyle w:val="FootnoteText"/>
      </w:pPr>
      <w:r>
        <w:rPr>
          <w:rStyle w:val="FootnoteReference"/>
        </w:rPr>
        <w:footnoteRef/>
      </w:r>
      <w:r>
        <w:t xml:space="preserve">
          <w:r>
            <w:t xml:space="preserve">
              <w:r>
                <w:t xml:space="preserve"> MT reads “before you” but some Heb. MSS read “me” as well as the LXX and Aramaic Peshitta</w:t>
              </w:r>
            </w:t>
          </w:r>
        </w:t>
      </w:r>
    </w:p>
  </w:footnote>
  <w:footnote w:id="16642">
    <w:p>
      <w:pPr>
        <w:pStyle w:val="FootnoteText"/>
      </w:pPr>
      <w:r>
        <w:rPr>
          <w:rStyle w:val="FootnoteReference"/>
        </w:rPr>
        <w:footnoteRef/>
      </w:r>
      <w:r>
        <w:t xml:space="preserve">
          <w:r>
            <w:t xml:space="preserve">
              <w:r>
                <w:t xml:space="preserve"> A dynasty</w:t>
              </w:r>
            </w:t>
          </w:r>
        </w:t>
      </w:r>
    </w:p>
  </w:footnote>
  <w:footnote w:id="15772">
    <w:p>
      <w:pPr>
        <w:pStyle w:val="FootnoteText"/>
      </w:pPr>
      <w:r>
        <w:rPr>
          <w:rStyle w:val="FootnoteReference"/>
        </w:rPr>
        <w:footnoteRef/>
      </w:r>
      <w:r>
        <w:t xml:space="preserve">
          <w:r>
            <w:t xml:space="preserve">
              <w:r>
                <w:t xml:space="preserve"> As per some Heb. MSS, LXX, Syraic</w:t>
              </w:r>
            </w:t>
          </w:r>
        </w:t>
      </w:r>
    </w:p>
  </w:footnote>
  <w:footnote w:id="28448">
    <w:p>
      <w:pPr>
        <w:pStyle w:val="FootnoteText"/>
      </w:pPr>
      <w:r>
        <w:rPr>
          <w:rStyle w:val="FootnoteReference"/>
        </w:rPr>
        <w:footnoteRef/>
      </w:r>
      <w:r>
        <w:t xml:space="preserve">
          <w:r>
            <w:t xml:space="preserve">
              <w:r>
                <w:t xml:space="preserve"> Heb. text reads “my table”</w:t>
              </w:r>
            </w:t>
          </w:r>
        </w:t>
      </w:r>
    </w:p>
  </w:footnote>
  <w:footnote w:id="10913">
    <w:p>
      <w:pPr>
        <w:pStyle w:val="FootnoteText"/>
      </w:pPr>
      <w:r>
        <w:rPr>
          <w:rStyle w:val="FootnoteReference"/>
        </w:rPr>
        <w:footnoteRef/>
      </w:r>
      <w:r>
        <w:t xml:space="preserve">
          <w:r>
            <w:t xml:space="preserve">
              <w:r>
                <w:t xml:space="preserve"> Called “Shammah” except in this chapter.</w:t>
              </w:r>
            </w:t>
          </w:r>
        </w:t>
      </w:r>
    </w:p>
  </w:footnote>
  <w:footnote w:id="20018">
    <w:p>
      <w:pPr>
        <w:pStyle w:val="FootnoteText"/>
      </w:pPr>
      <w:r>
        <w:rPr>
          <w:rStyle w:val="FootnoteReference"/>
        </w:rPr>
        <w:footnoteRef/>
      </w:r>
      <w:r>
        <w:t xml:space="preserve">
          <w:r>
            <w:t xml:space="preserve">
              <w:r>
                <w:t xml:space="preserve"> As per the Qumran text</w:t>
              </w:r>
            </w:t>
          </w:r>
        </w:t>
      </w:r>
    </w:p>
  </w:footnote>
  <w:footnote w:id="28424">
    <w:p>
      <w:pPr>
        <w:pStyle w:val="FootnoteText"/>
      </w:pPr>
      <w:r>
        <w:rPr>
          <w:rStyle w:val="FootnoteReference"/>
        </w:rPr>
        <w:footnoteRef/>
      </w:r>
      <w:r>
        <w:t xml:space="preserve">
          <w:r>
            <w:t xml:space="preserve">
              <w:r>
                <w:t xml:space="preserve"> Last sentence in LXX but not Masoretic text</w:t>
              </w:r>
            </w:t>
          </w:r>
        </w:t>
      </w:r>
    </w:p>
  </w:footnote>
  <w:footnote w:id="20541">
    <w:p>
      <w:pPr>
        <w:pStyle w:val="FootnoteText"/>
      </w:pPr>
      <w:r>
        <w:rPr>
          <w:rStyle w:val="FootnoteReference"/>
        </w:rPr>
        <w:footnoteRef/>
      </w:r>
      <w:r>
        <w:t xml:space="preserve">
          <w:r>
            <w:t xml:space="preserve">
              <w:r>
                <w:t xml:space="preserve"> Roughly 5 pounds (2.26 kilograms)</w:t>
              </w:r>
            </w:t>
          </w:r>
        </w:t>
      </w:r>
    </w:p>
  </w:footnote>
  <w:footnote w:id="26939">
    <w:p>
      <w:pPr>
        <w:pStyle w:val="FootnoteText"/>
      </w:pPr>
      <w:r>
        <w:rPr>
          <w:rStyle w:val="FootnoteReference"/>
        </w:rPr>
        <w:footnoteRef/>
      </w:r>
      <w:r>
        <w:t xml:space="preserve">
          <w:r>
            <w:t xml:space="preserve">
              <w:r>
                <w:t xml:space="preserve"> Roughly 7.5 pounds (3.4 kilograms)</w:t>
              </w:r>
            </w:t>
          </w:r>
        </w:t>
      </w:r>
    </w:p>
  </w:footnote>
  <w:footnote w:id="19346">
    <w:p>
      <w:pPr>
        <w:pStyle w:val="FootnoteText"/>
      </w:pPr>
      <w:r>
        <w:rPr>
          <w:rStyle w:val="FootnoteReference"/>
        </w:rPr>
        <w:footnoteRef/>
      </w:r>
      <w:r>
        <w:t xml:space="preserve">
          <w:r>
            <w:t xml:space="preserve">
              <w:r>
                <w:t xml:space="preserve"> MT reads “was seen” but Ps. 18:10 preserves the original</w:t>
              </w:r>
            </w:t>
          </w:r>
        </w:t>
      </w:r>
    </w:p>
  </w:footnote>
  <w:footnote w:id="30154">
    <w:p>
      <w:pPr>
        <w:pStyle w:val="FootnoteText"/>
      </w:pPr>
      <w:r>
        <w:rPr>
          <w:rStyle w:val="FootnoteReference"/>
        </w:rPr>
        <w:footnoteRef/>
      </w:r>
      <w:r>
        <w:t xml:space="preserve">
          <w:r>
            <w:t xml:space="preserve">
              <w:r>
                <w:t xml:space="preserve"> Or “faithful”</w:t>
              </w:r>
            </w:t>
          </w:r>
        </w:t>
      </w:r>
    </w:p>
  </w:footnote>
  <w:footnote w:id="11452">
    <w:p>
      <w:pPr>
        <w:pStyle w:val="FootnoteText"/>
      </w:pPr>
      <w:r>
        <w:rPr>
          <w:rStyle w:val="FootnoteReference"/>
        </w:rPr>
        <w:footnoteRef/>
      </w:r>
      <w:r>
        <w:t xml:space="preserve">
          <w:r>
            <w:t xml:space="preserve">
              <w:r>
                <w:t xml:space="preserve"> As per some Heb. MSS and some LXX MSS.</w:t>
              </w:r>
            </w:t>
          </w:r>
        </w:t>
      </w:r>
    </w:p>
  </w:footnote>
  <w:footnote w:id="12683">
    <w:p>
      <w:pPr>
        <w:pStyle w:val="FootnoteText"/>
      </w:pPr>
      <w:r>
        <w:rPr>
          <w:rStyle w:val="FootnoteReference"/>
        </w:rPr>
        <w:footnoteRef/>
      </w:r>
      <w:r>
        <w:t xml:space="preserve">
          <w:r>
            <w:t xml:space="preserve">
              <w:r>
                <w:t xml:space="preserve"> Some MSS read “thirty”</w:t>
              </w:r>
            </w:t>
          </w:r>
        </w:t>
      </w:r>
    </w:p>
  </w:footnote>
  <w:footnote w:id="16026">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950466">
    <w:multiLevelType w:val="hybridMultilevel"/>
    <w:lvl w:ilvl="0" w:tplc="68025100">
      <w:start w:val="1"/>
      <w:numFmt w:val="decimal"/>
      <w:lvlText w:val="%1."/>
      <w:lvlJc w:val="left"/>
      <w:pPr>
        <w:ind w:left="720" w:hanging="360"/>
      </w:pPr>
    </w:lvl>
    <w:lvl w:ilvl="1" w:tplc="68025100" w:tentative="1">
      <w:start w:val="1"/>
      <w:numFmt w:val="lowerLetter"/>
      <w:lvlText w:val="%2."/>
      <w:lvlJc w:val="left"/>
      <w:pPr>
        <w:ind w:left="1440" w:hanging="360"/>
      </w:pPr>
    </w:lvl>
    <w:lvl w:ilvl="2" w:tplc="68025100" w:tentative="1">
      <w:start w:val="1"/>
      <w:numFmt w:val="lowerRoman"/>
      <w:lvlText w:val="%3."/>
      <w:lvlJc w:val="right"/>
      <w:pPr>
        <w:ind w:left="2160" w:hanging="180"/>
      </w:pPr>
    </w:lvl>
    <w:lvl w:ilvl="3" w:tplc="68025100" w:tentative="1">
      <w:start w:val="1"/>
      <w:numFmt w:val="decimal"/>
      <w:lvlText w:val="%4."/>
      <w:lvlJc w:val="left"/>
      <w:pPr>
        <w:ind w:left="2880" w:hanging="360"/>
      </w:pPr>
    </w:lvl>
    <w:lvl w:ilvl="4" w:tplc="68025100" w:tentative="1">
      <w:start w:val="1"/>
      <w:numFmt w:val="lowerLetter"/>
      <w:lvlText w:val="%5."/>
      <w:lvlJc w:val="left"/>
      <w:pPr>
        <w:ind w:left="3600" w:hanging="360"/>
      </w:pPr>
    </w:lvl>
    <w:lvl w:ilvl="5" w:tplc="68025100" w:tentative="1">
      <w:start w:val="1"/>
      <w:numFmt w:val="lowerRoman"/>
      <w:lvlText w:val="%6."/>
      <w:lvlJc w:val="right"/>
      <w:pPr>
        <w:ind w:left="4320" w:hanging="180"/>
      </w:pPr>
    </w:lvl>
    <w:lvl w:ilvl="6" w:tplc="68025100" w:tentative="1">
      <w:start w:val="1"/>
      <w:numFmt w:val="decimal"/>
      <w:lvlText w:val="%7."/>
      <w:lvlJc w:val="left"/>
      <w:pPr>
        <w:ind w:left="5040" w:hanging="360"/>
      </w:pPr>
    </w:lvl>
    <w:lvl w:ilvl="7" w:tplc="68025100" w:tentative="1">
      <w:start w:val="1"/>
      <w:numFmt w:val="lowerLetter"/>
      <w:lvlText w:val="%8."/>
      <w:lvlJc w:val="left"/>
      <w:pPr>
        <w:ind w:left="5760" w:hanging="360"/>
      </w:pPr>
    </w:lvl>
    <w:lvl w:ilvl="8" w:tplc="68025100" w:tentative="1">
      <w:start w:val="1"/>
      <w:numFmt w:val="lowerRoman"/>
      <w:lvlText w:val="%9."/>
      <w:lvlJc w:val="right"/>
      <w:pPr>
        <w:ind w:left="6480" w:hanging="180"/>
      </w:pPr>
    </w:lvl>
  </w:abstractNum>
  <w:abstractNum w:abstractNumId="7129">
    <w:multiLevelType w:val="hybridMultilevel"/>
    <w:lvl w:ilvl="0" w:tplc="511371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29">
    <w:abstractNumId w:val="7129"/>
  </w:num>
  <w:num w:numId="21950466">
    <w:abstractNumId w:val="219504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3713016" Type="http://schemas.openxmlformats.org/officeDocument/2006/relationships/numbering" Target="numbering.xml"/><Relationship Id="rId362219340" Type="http://schemas.openxmlformats.org/officeDocument/2006/relationships/comments" Target="comments.xml"/><Relationship Id="rId217768680f1fae02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