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5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FootnoteReference"/>
        </w:rPr>
        <w:footnoteReference w:id="16833"/>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FootnoteReference"/>
        </w:rPr>
        <w:footnoteReference w:id="30743"/>
      </w:r>
      <w:r>
        <w:rPr/>
        <w:t xml:space="preserve"> Louw-Nida has, “pertaining to that which occurs in many parts—fragmentary, in many parts.”</w:t>
      </w:r>
      <w:r>
        <w:rPr>
          <w:rStyle w:val="FootnoteReference"/>
        </w:rPr>
        <w:footnoteReference w:id="26515"/>
      </w:r>
      <w:r>
        <w:rPr/>
        <w:t xml:space="preserve"> BDAG has, “of prophetic writing, </w:t>
      </w:r>
      <w:r>
        <w:rPr>
          <w:i/>
          <w:iCs/>
        </w:rPr>
        <w:t xml:space="preserve">in various parts</w:t>
      </w:r>
      <w:r>
        <w:rPr/>
        <w:t xml:space="preserve">.”</w:t>
      </w:r>
      <w:r>
        <w:rPr>
          <w:rStyle w:val="FootnoteReference"/>
        </w:rPr>
        <w:footnoteReference w:id="14833"/>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FootnoteReference"/>
        </w:rPr>
        <w:footnoteReference w:id="19953"/>
      </w:r>
      <w:r>
        <w:rPr/>
        <w:t xml:space="preserve"> </w:t>
      </w:r>
      <w:r>
        <w:rPr>
          <w:i/>
          <w:iCs/>
        </w:rPr>
        <w:t xml:space="preserve">Brill</w:t>
      </w:r>
      <w:r>
        <w:rPr/>
        <w:t xml:space="preserve"> says, “constituted from many parts.”</w:t>
      </w:r>
      <w:r>
        <w:rPr>
          <w:rStyle w:val="FootnoteReference"/>
        </w:rPr>
        <w:footnoteReference w:id="17765"/>
      </w:r>
      <w:r>
        <w:rPr/>
        <w:t xml:space="preserve"> E. W. Bullinger has, “consisting of many parts, manifold, by many fragments.”</w:t>
      </w:r>
      <w:r>
        <w:rPr>
          <w:rStyle w:val="FootnoteReference"/>
        </w:rPr>
        <w:footnoteReference w:id="25954"/>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FootnoteReference"/>
        </w:rPr>
        <w:footnoteReference w:id="27415"/>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FootnoteReference"/>
        </w:rPr>
        <w:footnoteReference w:id="13979"/>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FootnoteReference"/>
        </w:rPr>
        <w:footnoteReference w:id="20248"/>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FootnoteReference"/>
        </w:rPr>
        <w:footnoteReference w:id="27571"/>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FootnoteReference"/>
        </w:rPr>
        <w:footnoteReference w:id="17536"/>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FootnoteReference"/>
        </w:rPr>
        <w:footnoteReference w:id="15257"/>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FootnoteReference"/>
        </w:rPr>
        <w:footnoteReference w:id="31537"/>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likely referring to Jesus’ second entrance into the world, i.e.,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“with respect to the angels.”</w:t>
      </w:r>
      <w:r>
        <w:rPr/>
        <w:t xml:space="preserve"> The Greek preposition </w:t>
      </w:r>
      <w:r>
        <w:rPr>
          <w:i/>
          <w:iCs/>
        </w:rPr>
        <w:t xml:space="preserve">pros</w:t>
      </w:r>
      <w:r>
        <w:rPr/>
        <w:t xml:space="preserve"> (#4314 πρός) can mean “to or toward,” in the sense of speaking “to” someone or thing, or it can mean “with reference to,” in the sense of speaking “about” or “with respect to” someone or thing.</w:t>
      </w:r>
      <w:r>
        <w:rPr>
          <w:rStyle w:val="FootnoteReference"/>
        </w:rPr>
        <w:footnoteReference w:id="16513"/>
      </w:r>
      <w:r>
        <w:rPr/>
        <w:t xml:space="preserve"> The following quotation from Psalm 104:4 is not spoken “to” the angels but rather “about” them. Therefore, it is more accurate to see the use of </w:t>
      </w:r>
      <w:r>
        <w:rPr>
          <w:i/>
          <w:iCs/>
        </w:rPr>
        <w:t xml:space="preserve">pros</w:t>
      </w:r>
      <w:r>
        <w:rPr/>
        <w:t xml:space="preserve"> here as identifying the subject of the quotation being “with reference to” the angels instead of the angels being the recipients of the verbal message itself, which doesn’t really make sense linguistically.</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FootnoteReference"/>
        </w:rPr>
        <w:footnoteReference w:id="21317"/>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FootnoteReference"/>
        </w:rPr>
        <w:footnoteReference w:id="25994"/>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FootnoteReference"/>
        </w:rPr>
        <w:footnoteReference w:id="10770"/>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in the original. Wescott uses an unpointed Hebrew font and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i.e.,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kingdom…i.e.,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FootnoteReference"/>
        </w:rPr>
        <w:footnoteReference w:id="11548"/>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commentary on Hebrews 2:9, explains why this translation of Hebrews 2:7 is to be preferred. However, what is the author meaning by quoting Psalm 8:4-6 here? As further explained in the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FootnoteReference"/>
        </w:rPr>
        <w:footnoteReference w:id="28663"/>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FootnoteReference"/>
        </w:rPr>
        <w:footnoteReference w:id="24205"/>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“experience death.”</w:t>
      </w:r>
      <w:r>
        <w:rPr/>
        <w:t xml:space="preserve"> For more on this phrase, see commentary on Matt. 16:28.</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FootnoteReference"/>
        </w:rPr>
        <w:footnoteReference w:id="25288"/>
      </w:r>
      <w:r>
        <w:rPr/>
        <w:t xml:space="preserve"> The </w:t>
      </w:r>
      <w:r>
        <w:rPr>
          <w:i/>
          <w:iCs/>
        </w:rPr>
        <w:t xml:space="preserve">EDNT</w:t>
      </w:r>
      <w:r>
        <w:rPr/>
        <w:t xml:space="preserve"> says that in Hebrews 2:10 the proper rendering is “pioneer of their salvation.”</w:t>
      </w:r>
      <w:r>
        <w:rPr>
          <w:rStyle w:val="FootnoteReference"/>
        </w:rPr>
        <w:footnoteReference w:id="22335"/>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31879"/>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31879"/>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31879"/>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31879"/>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31879"/>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them.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them.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FootnoteReference"/>
        </w:rPr>
        <w:footnoteReference w:id="22115"/>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FootnoteReference"/>
        </w:rPr>
        <w:footnoteReference w:id="13664"/>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FootnoteReference"/>
        </w:rPr>
        <w:footnoteReference w:id="17470"/>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some people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FootnoteReference"/>
        </w:rPr>
        <w:footnoteReference w:id="17464"/>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FootnoteReference"/>
        </w:rPr>
        <w:footnoteReference w:id="20385"/>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Many translators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FootnoteReference"/>
        </w:rPr>
        <w:footnoteReference w:id="17303"/>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w:t>
      </w:r>
      <w:r>
        <w:rPr>
          <w:i/>
          <w:iCs/>
        </w:rPr>
        <w:t xml:space="preserve">gar</w:t>
      </w:r>
      <w:r>
        <w:rPr/>
        <w:t xml:space="preserve">” which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FootnoteReference"/>
        </w:rPr>
        <w:footnoteReference w:id="11468"/>
      </w:r>
      <w:r>
        <w:rPr/>
        <w:t xml:space="preserve"> Nyland translates it, “I hardly need to say,”</w:t>
      </w:r>
      <w:r>
        <w:rPr>
          <w:rStyle w:val="FootnoteReference"/>
        </w:rPr>
        <w:footnoteReference w:id="14371"/>
      </w:r>
      <w:r>
        <w:rPr/>
        <w:t xml:space="preserve"> and Lenski, “it hardly needs to be said.”</w:t>
      </w:r>
      <w:r>
        <w:rPr>
          <w:rStyle w:val="FootnoteReference"/>
        </w:rPr>
        <w:footnoteReference w:id="10479"/>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FootnoteReference"/>
        </w:rPr>
        <w:footnoteReference w:id="17522"/>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FootnoteReference"/>
        </w:rPr>
        <w:footnoteReference w:id="31238"/>
      </w:r>
      <w:r>
        <w:rPr/>
        <w:t xml:space="preserve"> Difficult indeed! What English speaker uses these words in everyday life, and is the biblical concept so difficult to explain that we need words that we have to look up to understand? And if we can understand them by looking them up, can we not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FootnoteReference"/>
        </w:rPr>
        <w:footnoteReference w:id="32213"/>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FootnoteReference"/>
        </w:rPr>
        <w:footnoteReference w:id="28746"/>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were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FootnoteReference"/>
        </w:rPr>
        <w:footnoteReference w:id="32664"/>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FootnoteReference"/>
        </w:rPr>
        <w:footnoteReference w:id="32358"/>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FootnoteReference"/>
        </w:rPr>
        <w:footnoteReference w:id="16080"/>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FootnoteReference"/>
        </w:rPr>
        <w:footnoteReference w:id="2694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FootnoteReference"/>
        </w:rPr>
        <w:footnoteReference w:id="13390"/>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FootnoteReference"/>
        </w:rPr>
        <w:footnoteReference w:id="26182"/>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FootnoteReference"/>
        </w:rPr>
        <w:footnoteReference w:id="30484"/>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Word Study: “Psuchē.” For more on “spirit” see Word Study: “Pneuma,”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FootnoteReference"/>
        </w:rPr>
        <w:footnoteReference w:id="12457"/>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FootnoteReference"/>
        </w:rPr>
        <w:footnoteReference w:id="31549"/>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FootnoteReference"/>
        </w:rPr>
        <w:footnoteReference w:id="25083"/>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FootnoteReference"/>
        </w:rPr>
        <w:footnoteReference w:id="13237"/>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FootnoteReference"/>
        </w:rPr>
        <w:footnoteReference w:id="18889"/>
      </w:r>
      <w:r>
        <w:rPr/>
        <w:t xml:space="preserve"> Friberg lists one definition as, “showing a disposition to help because of fellow feeling.”</w:t>
      </w:r>
      <w:r>
        <w:rPr>
          <w:rStyle w:val="FootnoteReference"/>
        </w:rPr>
        <w:footnoteReference w:id="27976"/>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FootnoteReference"/>
        </w:rPr>
        <w:footnoteReference w:id="23317"/>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FootnoteReference"/>
        </w:rPr>
        <w:footnoteReference w:id="20223"/>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FootnoteReference"/>
        </w:rPr>
        <w:footnoteReference w:id="28739"/>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FootnoteReference"/>
        </w:rPr>
        <w:footnoteReference w:id="28642"/>
      </w:r>
      <w:r>
        <w:rPr/>
        <w:t xml:space="preserve"> F. F. Bruce notes, “...the consistent meaning is reverence toward God,” and while he notes the translation “godly fear,” he also notes the translation of the NEB, “humble submission.”</w:t>
      </w:r>
      <w:r>
        <w:rPr>
          <w:rStyle w:val="FootnoteReference"/>
        </w:rPr>
        <w:footnoteReference w:id="28272"/>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FootnoteReference"/>
        </w:rPr>
        <w:footnoteReference w:id="15513"/>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FootnoteReference"/>
        </w:rPr>
        <w:footnoteReference w:id="31417"/>
      </w:r>
      <w:r>
        <w:rPr/>
        <w:t xml:space="preserve"> “responsible agent, cause”;</w:t>
      </w:r>
      <w:r>
        <w:rPr>
          <w:rStyle w:val="FootnoteReference"/>
        </w:rPr>
        <w:footnoteReference w:id="28355"/>
      </w:r>
      <w:r>
        <w:rPr/>
        <w:t xml:space="preserve"> “cause, reason, occasion.”</w:t>
      </w:r>
      <w:r>
        <w:rPr>
          <w:rStyle w:val="FootnoteReference"/>
        </w:rPr>
        <w:footnoteReference w:id="23357"/>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FootnoteReference"/>
        </w:rPr>
        <w:footnoteReference w:id="22231"/>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FootnoteReference"/>
        </w:rPr>
        <w:footnoteReference w:id="15141"/>
      </w:r>
      <w:r>
        <w:rPr/>
        <w:t xml:space="preserve"> Mankind has a moral obligation to God to use their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6:5</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is always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were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lives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to whom the book of Hebrews is addressed)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FootnoteReference"/>
        </w:rPr>
        <w:footnoteReference w:id="16724"/>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FootnoteReference"/>
        </w:rPr>
        <w:footnoteReference w:id="30972"/>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FootnoteReference"/>
        </w:rPr>
        <w:footnoteReference w:id="14928"/>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FootnoteReference"/>
        </w:rPr>
        <w:footnoteReference w:id="31233"/>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FootnoteReference"/>
        </w:rPr>
        <w:footnoteReference w:id="14572"/>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w:t>
      </w:r>
      <w:r>
        <w:rPr>
          <w:rStyle w:val="FootnoteReference"/>
        </w:rPr>
        <w:footnoteReference w:id="15016"/>
      </w:r>
      <w:r>
        <w:rPr/>
        <w:t xml:space="preserve">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FootnoteReference"/>
        </w:rPr>
        <w:footnoteReference w:id="17286"/>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25102"/>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FootnoteReference"/>
        </w:rPr>
        <w:footnoteReference w:id="27339"/>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FootnoteReference"/>
        </w:rPr>
        <w:footnoteReference w:id="15558"/>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FootnoteReference"/>
        </w:rPr>
        <w:footnoteReference w:id="2867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FootnoteReference"/>
        </w:rPr>
        <w:footnoteReference w:id="15684"/>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 (see commentary on Exod. 40:5).</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(Num. 7:89; Exod. 25:22; 40:38).</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(for more information on it, see the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 A red heifer was burned to ashes, then those ashes were mixed with living water and that mixture was sprinkled on unclean people so that they would become clean, as described in Numbers chapter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“the promise of the inheritance in the age </w:t>
      </w:r>
      <w:r>
        <w:rPr>
          <w:b/>
          <w:bCs/>
          <w:i/>
          <w:iCs/>
        </w:rPr>
        <w:t xml:space="preserve">to come</w:t>
      </w:r>
      <w:r>
        <w:rPr>
          <w:b/>
          <w:bCs/>
        </w:rPr>
        <w:t xml:space="preserve">.”</w:t>
      </w:r>
      <w:r>
        <w:rPr/>
        <w:t xml:space="preserve"> “The inheritance” in the age to come is everlasting life in the Kingdom of God (see commentary on Gal. 5:21).</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FootnoteReference"/>
        </w:rPr>
        <w:footnoteReference w:id="29776"/>
      </w:r>
      <w:r>
        <w:rPr/>
        <w:t xml:space="preserve"> second, heavenly things marred by the sin of Satan and perhaps even angels;</w:t>
      </w:r>
      <w:r>
        <w:rPr>
          <w:rStyle w:val="FootnoteReference"/>
        </w:rPr>
        <w:footnoteReference w:id="23704"/>
      </w:r>
      <w:r>
        <w:rPr/>
        <w:t xml:space="preserve"> and third, “heavenly ones,” believers on earth, perfecting their conscience in the process (Heb. 9:9).</w:t>
      </w:r>
      <w:r>
        <w:rPr>
          <w:rStyle w:val="FootnoteReference"/>
        </w:rPr>
        <w:footnoteReference w:id="15457"/>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FootnoteReference"/>
        </w:rPr>
        <w:footnoteReference w:id="23618"/>
      </w:r>
      <w:r>
        <w:rPr/>
        <w:t xml:space="preserve"> Similarly, Simon Kistemaker writes, “The heavenly sanctuary is not man-made and therefore is untainted by sin. It does not need to be cleansed.”</w:t>
      </w:r>
      <w:r>
        <w:rPr>
          <w:rStyle w:val="FootnoteReference"/>
        </w:rPr>
        <w:footnoteReference w:id="10603"/>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FootnoteReference"/>
        </w:rPr>
        <w:footnoteReference w:id="13920"/>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the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Hebrews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of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cleansed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of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guilt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FootnoteReference"/>
        </w:rPr>
        <w:footnoteReference w:id="30860"/>
      </w:r>
      <w:r>
        <w:rPr/>
        <w:t xml:space="preserve"> Thus, some versions render the phrase, “great high priest” (cf. HCSB), or “high priest” (KJV, NJB) (see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atonement-cover and in front of the atonement-cover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10:23</w:t>
      </w:r>
    </w:p>
    <w:p>
      <w:pPr>
        <w:pStyle w:val="rNormal"/>
        <w:widowControl w:val="on"/>
        <w:spacing w:before="240" w:after="240" w:line="240" w:lineRule="auto"/>
        <w:ind w:left="0" w:right="0" w:firstLine="1"/>
        <w:jc w:val="left"/>
      </w:pPr>
      <w:r>
        <w:rPr>
          <w:b/>
          <w:bCs/>
        </w:rPr>
        <w:t xml:space="preserve">“let us hold on firmly.”</w:t>
      </w:r>
      <w:r>
        <w:rPr/>
        <w:t xml:space="preserve"> This appeal to “hold on firmly” is an appeal to keep trusting Christ, and not forfeit one’s salvation by going back to Judaism.</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25877"/>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The consistent testimony of the New Testament is that it is repentance from sin (Mark 1:15; 6:12; Matt. 4:17; Luke 5:32; 13:3; Acts 2:38; 11:18), not ‘never sinning again’ (1 John 1:8, 10), that separates Christians from non-Christians. Christians repent, but non-Christians do not.</w:t>
      </w:r>
    </w:p>
    <w:p>
      <w:pPr>
        <w:pStyle w:val="rNormal"/>
        <w:widowControl w:val="on"/>
        <w:spacing w:before="240" w:after="240" w:line="240" w:lineRule="auto"/>
        <w:ind w:left="0" w:right="0"/>
        <w:jc w:val="left"/>
      </w:pPr>
      <w:r>
        <w:rPr/>
        <w:t xml:space="preserve">This is exactly what the phrase “if we keep on sinning deliberately” communicates. There is quite a bit of evidence in the context of this passage that this is not referring to simply sinning, but deliberate, unrepentant sin and rejecting Christ’s atoning sacrifice, which is behavior that is condemned elsewhere in the New Testament (Luke 13:3; Eph. 5:5; 1 Cor. 6:19; Gal. 5:19-21; Rom. 10:9). The first line of evidence is that Hebrews 10:29 refers to “the one who has trampled under foot the Son of God,” and “insulted the Spirit of grace.” These striking words depict a willful rejection of Jesus’ atoning sacrifice. “These clauses do not specify particular sinful actions, but rather characterize, in vivid metaphors, the repudiation of the new covenant.”</w:t>
      </w:r>
      <w:r>
        <w:rPr>
          <w:rStyle w:val="FootnoteReference"/>
        </w:rPr>
        <w:footnoteReference w:id="30213"/>
      </w:r>
    </w:p>
    <w:p>
      <w:pPr>
        <w:pStyle w:val="rNormal"/>
        <w:widowControl w:val="on"/>
        <w:spacing w:before="240" w:after="240" w:line="240" w:lineRule="auto"/>
        <w:ind w:left="0" w:right="0"/>
        <w:jc w:val="left"/>
      </w:pPr>
      <w:r>
        <w:rPr/>
        <w:t xml:space="preserve">Secondly, in Hebrews 10:35 the author pleads with these Jewish Christians not to “throw away” their confidence. Meaning he is not referring to a “one-off” sin, but deliberate rejection of their confidence in Christ. Thirdly, in Hebrews 10:23, the author appeals to them to “hold on firmly to the confession of our hope,” which implies again that this is not just about repeated sin, but a willful rejection of the hope Christians have of a “better and lasting possession” (Heb. 10:34). For all of these reasons, and the fact that the author of Hebrews specifically is addressing the person who continues “sinning deliberately,” not simply “sinning,” the author is referring to unrepentant sin here in Hebrews 10:26, which is further described as a willful rejection of Christ’s sacrifice (i.e., “trampling under foot the Son of God”).</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are genuine Christians who have heard the truth and believed it. This is not referring to people who have just “heard” the good news and not believed it, but to people who believed the truth but then abandoned it for the pleasures of sin. This phrase is referring to genuine “born again” Christians because these people are described as having been “made holy” (Heb. 10:29), having been “englightened” (Heb. 10:32), people who have a “hope” (Heb. 10:23), and lastly are referred to in the 1</w:t>
      </w:r>
      <w:r>
        <w:rPr>
          <w:vertAlign w:val="superscript"/>
        </w:rPr>
        <w:t xml:space="preserve">st</w:t>
      </w:r>
      <w:r>
        <w:rPr/>
        <w:t xml:space="preserve"> person (“we,” Heb. 10:19, 26) by the author, and so by implication, the author, who is clearly a Christian believer views his intended audience is also genuine Christians along with him.</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If the people being addressed in Hebrews 10:26 are genuine Christians (see above), then this verse is giving one of the most grave and sobering warnings—that Christians can forfeit their salvation. The logical argument the author is making with this concluding statement is that: (1) if forgiveness of sin is based on the atoning sacrifice of Christ, and (2), if there is no longer a “sacrifice for sins” for the person who continues “sinning deliberately,” then (3) such people no longer have forgiveness for their sins.</w:t>
      </w:r>
    </w:p>
    <w:p>
      <w:pPr>
        <w:pStyle w:val="rNormal"/>
        <w:widowControl w:val="on"/>
        <w:spacing w:before="240" w:after="240" w:line="240" w:lineRule="auto"/>
        <w:ind w:left="0" w:right="0"/>
        <w:jc w:val="left"/>
      </w:pPr>
      <w:r>
        <w:rPr/>
        <w:t xml:space="preserve">The author of Hebrew’s call to endure in the Faith is repeated in multiple different ways in this passage and in the book of Hebrews itself: “Let us hold on firmly to the confession of our hope without wavering” (Heb. 10:23), “Therefore, do not throw away your confidence, which will have a great reward. For you have need of endurance…” (Heb. 10:35-36), and “But my righteous one will live by trust, and if he draws back, my soul has no pleasure in him” (Heb. 10:38 from Hab. 2:4 LXX). The author of Hebrews is repeatedly encouraging the reader to not abandon their faith.</w:t>
      </w:r>
    </w:p>
    <w:p>
      <w:pPr>
        <w:pStyle w:val="rNormal"/>
        <w:widowControl w:val="on"/>
        <w:spacing w:before="240" w:after="240" w:line="240" w:lineRule="auto"/>
        <w:ind w:left="0" w:right="0"/>
        <w:jc w:val="left"/>
      </w:pPr>
      <w:r>
        <w:rPr/>
        <w:t xml:space="preserve">One could argue this is the main point of the book of Hebrews. To call Jewish Christians to not abandon their faith and return to Judaism, because Christ and the New Covenant are better than the Old Covenant they were under. In Hebrews 1, he argues that Christ is better than the angels who mediated the Mosaic Law (Heb. 2:2) so he pleads with them not to neglect so great a salvation (Heb. 2:3). In Hebrews 3, the author argues that Christ is greater than Moses (Heb. 3:6), and thus, he pleads with them not to “fall away from the living God” (Heb. 3:12). In Hebrews 4, the author argues that Jesus is an even greater high priest because he is “without sin” (Heb. 4:15). In Hebrews 5, he argues that Jesus is a high priest after the order of Melchizedek, which he later demonstrates is a greater order than that of Moses/Aaron (Heb. 7:1-10), and therefore, he pleads with them not to “fall away” (Heb. 6:6). In Hebrews 7, the author argues that perfection was unattainable under the “Levitical priesthood” (Heb. 7:11), and that the “law made nothing perfect” (Heb. 7:19), but that “Jesus has become the guarantee of a better covenant” (Heb. 7:22). In Hebrews 8, the author argues that Jesus is a minister in the true tabernacle in heaven, not in an earthly tabernacle “man” set up (Heb. 8:2), thus, he is greater than the high priest who ministers in an earthly sanctuary. He also argues that Jesus is the mediator of a “better covenant” with “better promises” (Heb. 8:6). In Hebrews 9, the author makes an argument from the lesser to the greater, namely, that if the “blood of goats and bulls...make people holy,” then, “how much more will the blood of Christ, cleanse our conscience from dead works” (Heb. 9:13-14). Then in Hebrews 10, in which the author argues that Jesus is better than the Old Testament sacrifices because they had to be offered year after year and could never “take away sins” (Heb. 10:4), but Jesus only offered himself once and for all, and he has “perfected for all time those who are being made holy” (Heb. 10:14).</w:t>
      </w:r>
    </w:p>
    <w:p>
      <w:pPr>
        <w:pStyle w:val="rNormal"/>
        <w:widowControl w:val="on"/>
        <w:spacing w:before="240" w:after="240" w:line="240" w:lineRule="auto"/>
        <w:ind w:left="0" w:right="0"/>
        <w:jc w:val="left"/>
      </w:pPr>
      <w:r>
        <w:rPr/>
        <w:t xml:space="preserve">Therefore, the clear theme of the book of Hebrews is that the New Covenant and Jesus himself are better than the Old Covenant in countless ways, so he repeatedly urges them not to turn back to Judaism.</w:t>
      </w:r>
    </w:p>
    <w:p>
      <w:pPr>
        <w:pStyle w:val="rNormal"/>
        <w:widowControl w:val="on"/>
        <w:spacing w:before="240" w:after="240" w:line="240" w:lineRule="auto"/>
        <w:ind w:left="0" w:right="0"/>
        <w:jc w:val="left"/>
      </w:pPr>
      <w:r>
        <w:rPr/>
        <w:t xml:space="preserve">From the repeated warnings throughout the book of Hebrews, and most specifically here in Hebrews 10, the author is attempting to communicate as emphatically as possible the danger for those believers who turn back to Judaism—they are forfeiting the hope of salvation that they have in Christ. And that is why the author goes to great lengths to prove to them the supremacy of Christ above anything that the Old Covenant had to offer. Jesus is far better, so why turn back to something less?</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“but only a fearful expectation of judgment.”</w:t>
      </w:r>
      <w:r>
        <w:rPr/>
        <w:t xml:space="preserve"> Believers, those who “were made holy” (Heb. 10:29), if they turn away from the Faith and “trample underfoot the Son of God” (Heb. 10:29), only have a “fearful expectation of Judgment” to look forward to, and will discover that God’s furious fire is “about to devour the adversaries,” that it, God’s adversaries.</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also warns Christians not to take their lives and their salvation lightly. Unbelievers are natural adversaries to God, so unless they come to Christ and get saved, they will be destroyed in the Lake of Fire (Matt. 10:28; Rev. 20:15-21). However, Christians can reject their trust in Jesus and return to their natural pagan ways and become adversaries to God. 2 Peter 2:20-22 speaks of people who escape the world but then return to it and get “overcome;” “conquered” by the ways of the world and their end is worse than if they had not heard in the first place.</w:t>
      </w:r>
    </w:p>
    <w:p>
      <w:pPr>
        <w:pStyle w:val="rNormal"/>
        <w:widowControl w:val="on"/>
        <w:spacing w:before="240" w:after="240" w:line="240" w:lineRule="auto"/>
        <w:ind w:left="0" w:right="0"/>
        <w:jc w:val="left"/>
      </w:pPr>
      <w:r>
        <w:rPr/>
        <w:t xml:space="preserve">This verse and its context are severe warnings for unbelievers that they should not continue in their disobedient ways but come to Christ and be saved.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“after you were enlightened.”</w:t>
      </w:r>
      <w:r>
        <w:rPr/>
        <w:t xml:space="preserve"> This phrase, which parallels Hebrews 6:4,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10:35</w:t>
      </w:r>
    </w:p>
    <w:p>
      <w:pPr>
        <w:pStyle w:val="rNormal"/>
        <w:widowControl w:val="on"/>
        <w:spacing w:before="240" w:after="240" w:line="240" w:lineRule="auto"/>
        <w:ind w:left="0" w:right="0" w:firstLine="1"/>
        <w:jc w:val="left"/>
      </w:pPr>
      <w:r>
        <w:rPr>
          <w:b/>
          <w:bCs/>
        </w:rPr>
        <w:t xml:space="preserve">“which will have a great reward.”</w:t>
      </w:r>
      <w:r>
        <w:rPr/>
        <w:t xml:space="preserve"> This phrase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FootnoteReference"/>
        </w:rPr>
        <w:footnoteReference w:id="31723"/>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FootnoteReference"/>
        </w:rPr>
        <w:footnoteReference w:id="26063"/>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“draw back.”</w:t>
      </w:r>
      <w:r>
        <w:rPr/>
        <w:t xml:space="preserve"> In the commentary on Hebrews 10:26, it was established that the author’s pleas to remain faithful were to Christians. This verse provides even more support to the teaching, which is prevalent in Hebrews 10, that Christians can forfeit their salvation if they reject Christ, and doing that will “result in destruction” (Heb. 10:39).</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their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18786"/>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FootnoteReference"/>
        </w:rPr>
        <w:footnoteReference w:id="25635"/>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FootnoteReference"/>
        </w:rPr>
        <w:footnoteReference w:id="30745"/>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that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138"/>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FootnoteReference"/>
        </w:rPr>
        <w:footnoteReference w:id="15879"/>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FootnoteReference"/>
        </w:rPr>
        <w:footnoteReference w:id="14935"/>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FootnoteReference"/>
        </w:rPr>
        <w:footnoteReference w:id="18649"/>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FootnoteReference"/>
        </w:rPr>
        <w:footnoteReference w:id="16423"/>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BDAG)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FootnoteReference"/>
        </w:rPr>
        <w:footnoteReference w:id="23399"/>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where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were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FootnoteReference"/>
        </w:rPr>
        <w:footnoteReference w:id="29459"/>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FootnoteReference"/>
        </w:rPr>
        <w:footnoteReference w:id="31083"/>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Greek idiom for someone who looks for a chance to repent and thus come into different circumstances, but finds no such opportunity.</w:t>
      </w:r>
      <w:r>
        <w:rPr>
          <w:rStyle w:val="FootnoteReference"/>
        </w:rPr>
        <w:footnoteReference w:id="23111"/>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times in life when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31879"/>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31879"/>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31879"/>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31879"/>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31879"/>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31879"/>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31879"/>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FootnoteReference"/>
        </w:rPr>
        <w:footnoteReference w:id="29187"/>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31879"/>
        </w:numPr>
        <w:spacing w:before="0" w:after="0" w:line="240" w:lineRule="auto"/>
        <w:rPr/>
      </w:pPr>
      <w:r>
        <w:rPr/>
        <w:t xml:space="preserve">HCSB, CEB, and NET: “I will complete my work” (the NRSV has, “I finish my work”).</w:t>
      </w:r>
    </w:p>
    <w:p>
      <w:pPr>
        <w:numPr>
          <w:ilvl w:val="0"/>
          <w:numId w:val="31879"/>
        </w:numPr>
        <w:spacing w:before="0" w:after="0" w:line="240" w:lineRule="auto"/>
        <w:rPr/>
      </w:pPr>
      <w:r>
        <w:rPr/>
        <w:t xml:space="preserve">ESV and RSV: “I finish my course.”</w:t>
      </w:r>
    </w:p>
    <w:p>
      <w:pPr>
        <w:numPr>
          <w:ilvl w:val="0"/>
          <w:numId w:val="31879"/>
        </w:numPr>
        <w:spacing w:before="0" w:after="0" w:line="240" w:lineRule="auto"/>
        <w:rPr/>
      </w:pPr>
      <w:r>
        <w:rPr/>
        <w:t xml:space="preserve">NASB and CJB: “I reach my goal” (the NIV has, “I will reach my goal”).</w:t>
      </w:r>
    </w:p>
    <w:p>
      <w:pPr>
        <w:numPr>
          <w:ilvl w:val="0"/>
          <w:numId w:val="31879"/>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FootnoteReference"/>
        </w:rPr>
        <w:footnoteReference w:id="26538"/>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FootnoteReference"/>
        </w:rPr>
        <w:footnoteReference w:id="27902"/>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FootnoteReference"/>
        </w:rPr>
        <w:footnoteReference w:id="16939"/>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or body parts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“clean place” outside and to the east of the camp where there had to be some kind of altar or grate for burning animals. Hebrews 13:10-13 affirms that the bodies of animal sacrifices were burned outside the camp, but it then goes on to say “so Jesus also suffered outside the gate” (Heb. 13:12).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clean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enough to turn animal bodies to ash, and that requires some kind of altar-like platform. This third “altar” was not described in the Old Testament descriptions of the Tabernacle or Temple; the text just tells us that the animals had to be burned outside the camp. However, that there was a third “altar” or specific place of burning is clear from the Mosaic Law, Ezekiel, and Hebrews. The lack of directions on how to build this third altar seems to be because God left it up to the priests as to how to build it. Also, depending on how it was built, it is possible that it was not moved when the Tabernacle moved—it would have been associated with a huge ash pile. It could have been left where it was, and another place of burning built when the Tabernacle moved. God had exacting requirements for the altar of incense and the great altar of sacrifice, including size, shape, and materials, but He did not give specific instructions as to how to build this third burning place, or “altar” on which the bodies of the sin offerings were burned. One could postulate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unclean bodies and body parts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FootnoteReference"/>
        </w:rPr>
        <w:footnoteReference w:id="14983"/>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FootnoteReference"/>
        </w:rPr>
        <w:footnoteReference w:id="17175"/>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r>
        <w:rPr>
          <w:rStyle w:val="FootnoteReference"/>
        </w:rPr>
        <w:footnoteReference w:id="18133"/>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 The most important direction of the Tabernacle and Temple was east, and both the Tabernacle and Temple faced east. In fact, the Tabernacle had its two entrances—one to the Tabernacle courtyard and one to the Tabernacle tent itself—on the east side. The Jews knew where this third altar was located, and it is said to be “outside the gate” (singular), which would logically be outside the east gate.</w:t>
      </w:r>
    </w:p>
    <w:p>
      <w:pPr>
        <w:pStyle w:val="rNormal"/>
        <w:widowControl w:val="on"/>
        <w:spacing w:before="240" w:after="240" w:line="240" w:lineRule="auto"/>
        <w:ind w:left="0" w:right="0"/>
        <w:jc w:val="left"/>
      </w:pPr>
      <w:r>
        <w:rPr/>
        <w:t xml:space="preserve">More evidence that the ashes were carried east of the Tabernacle/Temple and the designated “clean place” was east of the Tabernacle/Temple comes from what happened to the ashes of the great altar of sacrifice inside the Tabernacle/Temple courtyard. Before those ashes were carried away to the clean place outside the camp of Israel (later the city of Jerusalem) they were dumped in the Tabernacle/Temple courtyard east of the altar (Lev. 1:16). If the ultimate destination of those ashes was to a place north of the camp of Israel, we would think that the ashes from the great altar would have been dumped north of it, not east of it.</w:t>
      </w:r>
    </w:p>
    <w:p>
      <w:pPr>
        <w:pStyle w:val="rNormal"/>
        <w:widowControl w:val="on"/>
        <w:spacing w:before="240" w:after="240" w:line="240" w:lineRule="auto"/>
        <w:ind w:left="0" w:right="0"/>
        <w:jc w:val="left"/>
      </w:pPr>
      <w:r>
        <w:rPr/>
        <w:t xml:space="preserve">The ritual of the Red Heifer gives more evidence that the “clean place” outside the camp was east of the Tabernacle and camp.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only place that a priest, after slaughtering the Red Heifer, could stand and sprinkle blood toward the “front” (the east side) of the Tabernacle/Temple would be to the east of the Tabernacle/Temple. Thus, the fact that the priest sprinkled the blood “toward the front of the Tent of Meeting” shows that the Red Heifer was sacrificed on the east side of the Tabernacle/Temple because the “front” of the Tabernacle/Temple was to the east.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FootnoteReference"/>
        </w:rPr>
        <w:footnoteReference w:id="12211"/>
      </w:r>
    </w:p>
    <w:p>
      <w:pPr>
        <w:pStyle w:val="rNormal"/>
        <w:widowControl w:val="on"/>
        <w:spacing w:before="240" w:after="240" w:line="240" w:lineRule="auto"/>
        <w:ind w:left="0" w:right="0"/>
        <w:jc w:val="left"/>
      </w:pPr>
      <w:r>
        <w:rPr/>
        <w:t xml:space="preserve">We can safely assume that from the time that the Temple was built on top of Mount Zion, there were lots of sin offerings and animal parts that were burned on the altar outside the camp, and since the Temple location never moved, the altar east of it had to be in a permanent place as well.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the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at this place of burning unclean things, this altar, was an altar from which the Levitical priests cannot eat,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102"/>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FootnoteReference"/>
        </w:rPr>
        <w:footnoteReference w:id="30141"/>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FootnoteReference"/>
        </w:rPr>
        <w:footnoteReference w:id="19444"/>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299168680f59e388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878954"/>
      <w:docPartObj>
        <w:docPartGallery w:val="Page Numbers (Bottom of Page)"/>
        <w:docPartUnique/>
      </w:docPartObj>
    </w:sdtPr>
    <w:sdtContent>
      <w:sdt>
        <w:sdtPr>
          <w:id w:val="6459573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833">
    <w:p>
      <w:pPr>
        <w:pStyle w:val="FootnoteText"/>
      </w:pPr>
      <w:r>
        <w:rPr>
          <w:rStyle w:val="FootnoteReference"/>
        </w:rPr>
        <w:footnoteRef/>
      </w:r>
      <w:r>
        <w:t xml:space="preserve">
          <w:r>
            <w:t xml:space="preserve">
              <w:r>
                <w:t xml:space="preserve"> G. W. Buchanan, </w:t>
              </w:r>
              <w:r>
                <w:rPr>
                  <w:i/>
                </w:rPr>
                <w:t xml:space="preserve">To the Hebrews</w:t>
              </w:r>
              <w:r>
                <w:t xml:space="preserve"> [AB], 3.</w:t>
              </w:r>
            </w:t>
          </w:r>
        </w:t>
      </w:r>
    </w:p>
  </w:footnote>
  <w:footnote w:id="30743">
    <w:p>
      <w:pPr>
        <w:pStyle w:val="FootnoteText"/>
      </w:pPr>
      <w:r>
        <w:rPr>
          <w:rStyle w:val="FootnoteReference"/>
        </w:rPr>
        <w:footnoteRef/>
      </w:r>
      <w:r>
        <w:t xml:space="preserve">
          <w:r>
            <w:t xml:space="preserve">
              <w:r>
                <w:t xml:space="preserve"> Friberg, </w:t>
              </w:r>
              <w:r>
                <w:rPr>
                  <w:i/>
                </w:rPr>
                <w:t xml:space="preserve">Analytical Lexicon</w:t>
              </w:r>
              <w:r>
                <w:t xml:space="preserve">, s.v. “πολυμερῶς.”</w:t>
              </w:r>
            </w:t>
          </w:r>
        </w:t>
      </w:r>
    </w:p>
  </w:footnote>
  <w:footnote w:id="26515">
    <w:p>
      <w:pPr>
        <w:pStyle w:val="FootnoteText"/>
      </w:pPr>
      <w:r>
        <w:rPr>
          <w:rStyle w:val="FootnoteReference"/>
        </w:rPr>
        <w:footnoteRef/>
      </w:r>
      <w:r>
        <w:t xml:space="preserve">
          <w:r>
            <w:t xml:space="preserve">
              <w:r>
                <w:t xml:space="preserve"> Louw and Nida, </w:t>
              </w:r>
              <w:r>
                <w:rPr>
                  <w:i/>
                </w:rPr>
                <w:t xml:space="preserve">Greek-English Lexicon</w:t>
              </w:r>
              <w:r>
                <w:t xml:space="preserve">, s.v. “πολυμερῶς.”</w:t>
              </w:r>
            </w:t>
          </w:r>
        </w:t>
      </w:r>
    </w:p>
  </w:footnote>
  <w:footnote w:id="14833">
    <w:p>
      <w:pPr>
        <w:pStyle w:val="FootnoteText"/>
      </w:pPr>
      <w:r>
        <w:rPr>
          <w:rStyle w:val="FootnoteReference"/>
        </w:rPr>
        <w:footnoteRef/>
      </w:r>
      <w:r>
        <w:t xml:space="preserve">
          <w:r>
            <w:t xml:space="preserve">
              <w:r>
                <w:t xml:space="preserve"> BDAG </w:t>
              </w:r>
              <w:r>
                <w:rPr>
                  <w:i/>
                </w:rPr>
                <w:t xml:space="preserve">Greek-English Lexicon</w:t>
              </w:r>
              <w:r>
                <w:t xml:space="preserve">, s.v. “πολυμερῶς.”</w:t>
              </w:r>
            </w:t>
          </w:r>
        </w:t>
      </w:r>
    </w:p>
  </w:footnote>
  <w:footnote w:id="19953">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s.v. “πολυμερῶς,” 527.</w:t>
              </w:r>
            </w:t>
          </w:r>
        </w:t>
      </w:r>
    </w:p>
  </w:footnote>
  <w:footnote w:id="17765">
    <w:p>
      <w:pPr>
        <w:pStyle w:val="FootnoteText"/>
      </w:pPr>
      <w:r>
        <w:rPr>
          <w:rStyle w:val="FootnoteReference"/>
        </w:rPr>
        <w:footnoteRef/>
      </w:r>
      <w:r>
        <w:t xml:space="preserve">
          <w:r>
            <w:t xml:space="preserve">
              <w:r>
                <w:t xml:space="preserve"> Montanari, </w:t>
              </w:r>
              <w:r>
                <w:rPr>
                  <w:i/>
                </w:rPr>
                <w:t xml:space="preserve">The Brill Dictionary of Ancient Greek</w:t>
              </w:r>
              <w:r>
                <w:t xml:space="preserve">.</w:t>
              </w:r>
            </w:t>
          </w:r>
        </w:t>
      </w:r>
    </w:p>
  </w:footnote>
  <w:footnote w:id="25954">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“times (at sundry),” 805.</w:t>
              </w:r>
            </w:t>
          </w:r>
        </w:t>
      </w:r>
    </w:p>
  </w:footnote>
  <w:footnote w:id="27415">
    <w:p>
      <w:pPr>
        <w:pStyle w:val="FootnoteText"/>
      </w:pPr>
      <w:r>
        <w:rPr>
          <w:rStyle w:val="FootnoteReference"/>
        </w:rPr>
        <w:footnoteRef/>
      </w:r>
      <w:r>
        <w:t xml:space="preserve">
          <w:r>
            <w:t xml:space="preserve">
              <w:r>
                <w:t xml:space="preserve"> Meyer, </w:t>
              </w:r>
              <w:r>
                <w:rPr>
                  <w:i/>
                </w:rPr>
                <w:t xml:space="preserve">Meyer’s Commentary on the New Testament</w:t>
              </w:r>
              <w:r>
                <w:t xml:space="preserve">.</w:t>
              </w:r>
            </w:t>
          </w:r>
        </w:t>
      </w:r>
    </w:p>
  </w:footnote>
  <w:footnote w:id="13979">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s.v. “πολυμερῶς,” 1195.</w:t>
              </w:r>
            </w:t>
          </w:r>
        </w:t>
      </w:r>
    </w:p>
  </w:footnote>
  <w:footnote w:id="20248">
    <w:p>
      <w:pPr>
        <w:pStyle w:val="FootnoteText"/>
      </w:pPr>
      <w:r>
        <w:rPr>
          <w:rStyle w:val="FootnoteReference"/>
        </w:rPr>
        <w:footnoteRef/>
      </w:r>
      <w:r>
        <w:t xml:space="preserve">
          <w:r>
            <w:t xml:space="preserve">
              <w:r>
                <w:t xml:space="preserve"> Spence-Jones, and Exell, The Pulpit Commentary.</w:t>
              </w:r>
            </w:t>
          </w:r>
        </w:t>
      </w:r>
    </w:p>
  </w:footnote>
  <w:footnote w:id="27571">
    <w:p>
      <w:pPr>
        <w:pStyle w:val="FootnoteText"/>
      </w:pPr>
      <w:r>
        <w:rPr>
          <w:rStyle w:val="FootnoteReference"/>
        </w:rPr>
        <w:footnoteRef/>
      </w:r>
      <w:r>
        <w:t xml:space="preserve">
          <w:r>
            <w:t xml:space="preserve">
              <w:r>
                <w:t xml:space="preserve"> </w:t>
              </w:r>
              <w:r>
                <w:rPr>
                  <w:i/>
                </w:rPr>
                <w:t xml:space="preserve">Vine’s Complete Expository Dictionary of Old and New Testament Words</w:t>
              </w:r>
              <w:r>
                <w:t xml:space="preserve">, 1245.</w:t>
              </w:r>
            </w:t>
          </w:r>
        </w:t>
      </w:r>
    </w:p>
  </w:footnote>
  <w:footnote w:id="17536">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“world,” 901.</w:t>
              </w:r>
            </w:t>
          </w:r>
        </w:t>
      </w:r>
    </w:p>
  </w:footnote>
  <w:footnote w:id="15257">
    <w:p>
      <w:pPr>
        <w:pStyle w:val="FootnoteText"/>
      </w:pPr>
      <w:r>
        <w:rPr>
          <w:rStyle w:val="FootnoteReference"/>
        </w:rPr>
        <w:footnoteRef/>
      </w:r>
      <w:r>
        <w:t xml:space="preserve">
          <w:r>
            <w:t xml:space="preserve">
              <w:r>
                <w:t xml:space="preserve"> Graeser, Lynn and Schoenheit, </w:t>
              </w:r>
              <w:r>
                <w:rPr>
                  <w:i/>
                </w:rPr>
                <w:t xml:space="preserve">One God &amp;amp; One Lord: Reconsidering the Cornerstone of the Christian Faith</w:t>
              </w:r>
              <w:r>
                <w:t xml:space="preserve">.</w:t>
              </w:r>
            </w:t>
          </w:r>
        </w:t>
      </w:r>
    </w:p>
  </w:footnote>
  <w:footnote w:id="31537">
    <w:p>
      <w:pPr>
        <w:pStyle w:val="FootnoteText"/>
      </w:pPr>
      <w:r>
        <w:rPr>
          <w:rStyle w:val="FootnoteReference"/>
        </w:rPr>
        <w:footnoteRef/>
      </w:r>
      <w:r>
        <w:t xml:space="preserve">
          <w:r>
            <w:t xml:space="preserve">
              <w:r>
                <w:t xml:space="preserve"> </w:t>
              </w:r>
              <w:r>
                <w:rPr>
                  <w:i/>
                </w:rPr>
                <w:t xml:space="preserve">NIV StudyBible</w:t>
              </w:r>
              <w:r>
                <w:t xml:space="preserve">, Grand Rapids: Zondervan, 1985, 2346.</w:t>
              </w:r>
            </w:t>
          </w:r>
        </w:t>
      </w:r>
    </w:p>
  </w:footnote>
  <w:footnote w:id="16513">
    <w:p>
      <w:pPr>
        <w:pStyle w:val="FootnoteText"/>
      </w:pPr>
      <w:r>
        <w:rPr>
          <w:rStyle w:val="FootnoteReference"/>
        </w:rPr>
        <w:footnoteRef/>
      </w:r>
      <w:r>
        <w:t xml:space="preserve">
          <w:r>
            <w:t xml:space="preserve">
              <w:r>
                <w:t xml:space="preserve"> BDAG, s.v. “πρός” 3.e.; George Buchanan, </w:t>
              </w:r>
              <w:r>
                <w:rPr>
                  <w:i/>
                </w:rPr>
                <w:t xml:space="preserve">To The Hebrews</w:t>
              </w:r>
              <w:r>
                <w:t xml:space="preserve"> [AB], 19.</w:t>
              </w:r>
            </w:t>
          </w:r>
        </w:t>
      </w:r>
    </w:p>
  </w:footnote>
  <w:footnote w:id="21317">
    <w:p>
      <w:pPr>
        <w:pStyle w:val="FootnoteText"/>
      </w:pPr>
      <w:r>
        <w:rPr>
          <w:rStyle w:val="FootnoteReference"/>
        </w:rPr>
        <w:footnoteRef/>
      </w:r>
      <w:r>
        <w:t xml:space="preserve">
          <w:r>
            <w:t xml:space="preserve">
              <w:r>
                <w:t xml:space="preserve"> See Bullinger, </w:t>
              </w:r>
              <w:r>
                <w:rPr>
                  <w:i/>
                </w:rPr>
                <w:t xml:space="preserve">Figures of Speech</w:t>
              </w:r>
              <w:r>
                <w:t xml:space="preserve">, 491, “antemereia.”</w:t>
              </w:r>
            </w:t>
          </w:r>
        </w:t>
      </w:r>
    </w:p>
  </w:footnote>
  <w:footnote w:id="2599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5:339.</w:t>
              </w:r>
            </w:t>
          </w:r>
        </w:t>
      </w:r>
    </w:p>
  </w:footnote>
  <w:footnote w:id="10770">
    <w:p>
      <w:pPr>
        <w:pStyle w:val="FootnoteText"/>
      </w:pPr>
      <w:r>
        <w:rPr>
          <w:rStyle w:val="FootnoteReference"/>
        </w:rPr>
        <w:footnoteRef/>
      </w:r>
      <w:r>
        <w:t xml:space="preserve">
          <w:r>
            <w:t xml:space="preserve">
              <w:r>
                <w:t xml:space="preserve"> Westcott, </w:t>
              </w:r>
              <w:r>
                <w:rPr>
                  <w:i/>
                </w:rPr>
                <w:t xml:space="preserve">The Epistle to the Hebrews: The Greek Text with Notes and Essays</w:t>
              </w:r>
              <w:r>
                <w:t xml:space="preserve">, 24-26.</w:t>
              </w:r>
            </w:t>
          </w:r>
        </w:t>
      </w:r>
    </w:p>
  </w:footnote>
  <w:footnote w:id="11548">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 Concerning the Nature of God and the Person of Christ</w:t>
              </w:r>
              <w:r>
                <w:t xml:space="preserve">, 150-51.</w:t>
              </w:r>
            </w:t>
          </w:r>
        </w:t>
      </w:r>
    </w:p>
  </w:footnote>
  <w:footnote w:id="28663">
    <w:p>
      <w:pPr>
        <w:pStyle w:val="FootnoteText"/>
      </w:pPr>
      <w:r>
        <w:rPr>
          <w:rStyle w:val="FootnoteReference"/>
        </w:rPr>
        <w:footnoteRef/>
      </w:r>
      <w:r>
        <w:t xml:space="preserve">
          <w:r>
            <w:t xml:space="preserve">
              <w:r>
                <w:t xml:space="preserve"> Paul Ellingworth and Eugene Albert Nida, </w:t>
              </w:r>
              <w:r>
                <w:rPr>
                  <w:i/>
                </w:rPr>
                <w:t xml:space="preserve">A Handbook on the Letter to the Hebrews</w:t>
              </w:r>
              <w:r>
                <w:t xml:space="preserve">, UBS Handbook Series, 35.</w:t>
              </w:r>
            </w:t>
          </w:r>
        </w:t>
      </w:r>
    </w:p>
  </w:footnote>
  <w:footnote w:id="24205">
    <w:p>
      <w:pPr>
        <w:pStyle w:val="FootnoteText"/>
      </w:pPr>
      <w:r>
        <w:rPr>
          <w:rStyle w:val="FootnoteReference"/>
        </w:rPr>
        <w:footnoteRef/>
      </w:r>
      <w:r>
        <w:t xml:space="preserve">
          <w:r>
            <w:t xml:space="preserve">
              <w:r>
                <w:t xml:space="preserve"> Cf. Guthrie, </w:t>
              </w:r>
              <w:r>
                <w:rPr>
                  <w:i/>
                </w:rPr>
                <w:t xml:space="preserve">Hebrews</w:t>
              </w:r>
              <w:r>
                <w:t xml:space="preserve"> [TNTC], 85-86.</w:t>
              </w:r>
            </w:t>
          </w:r>
        </w:t>
      </w:r>
    </w:p>
  </w:footnote>
  <w:footnote w:id="25288">
    <w:p>
      <w:pPr>
        <w:pStyle w:val="FootnoteText"/>
      </w:pPr>
      <w:r>
        <w:rPr>
          <w:rStyle w:val="FootnoteReference"/>
        </w:rPr>
        <w:footnoteRef/>
      </w:r>
      <w:r>
        <w:t xml:space="preserve">
          <w:r>
            <w:t xml:space="preserve">
              <w:r>
                <w:t xml:space="preserve"> Friberg, </w:t>
              </w:r>
              <w:r>
                <w:rPr>
                  <w:i/>
                </w:rPr>
                <w:t xml:space="preserve">Analytical Lexicon</w:t>
              </w:r>
              <w:r>
                <w:t xml:space="preserve">, s.v. “ἀρχηγός.”</w:t>
              </w:r>
            </w:t>
          </w:r>
        </w:t>
      </w:r>
    </w:p>
  </w:footnote>
  <w:footnote w:id="22335">
    <w:p>
      <w:pPr>
        <w:pStyle w:val="FootnoteText"/>
      </w:pPr>
      <w:r>
        <w:rPr>
          <w:rStyle w:val="FootnoteReference"/>
        </w:rPr>
        <w:footnoteRef/>
      </w:r>
      <w:r>
        <w:t xml:space="preserve">
          <w:r>
            <w:t xml:space="preserve">
              <w:r>
                <w:t xml:space="preserve"> Balz and Schneider, </w:t>
              </w:r>
              <w:r>
                <w:rPr>
                  <w:i/>
                </w:rPr>
                <w:t xml:space="preserve">Exegetical Dictionary of the New Testament</w:t>
              </w:r>
              <w:r>
                <w:t xml:space="preserve">, s.v. “ἀρχηγός,” 163.</w:t>
              </w:r>
            </w:t>
          </w:r>
        </w:t>
      </w:r>
    </w:p>
  </w:footnote>
  <w:footnote w:id="22115">
    <w:p>
      <w:pPr>
        <w:pStyle w:val="FootnoteText"/>
      </w:pPr>
      <w:r>
        <w:rPr>
          <w:rStyle w:val="FootnoteReference"/>
        </w:rPr>
        <w:footnoteRef/>
      </w:r>
      <w:r>
        <w:t xml:space="preserve">
          <w:r>
            <w:t xml:space="preserve">
              <w:r>
                <w:t xml:space="preserve"> Balz and Schneider, </w:t>
              </w:r>
              <w:r>
                <w:rPr>
                  <w:i/>
                </w:rPr>
                <w:t xml:space="preserve">EDNT</w:t>
              </w:r>
              <w:r>
                <w:t xml:space="preserve">, s.v. “παραπλησίως,” 33.</w:t>
              </w:r>
            </w:t>
          </w:r>
        </w:t>
      </w:r>
    </w:p>
  </w:footnote>
  <w:footnote w:id="13664">
    <w:p>
      <w:pPr>
        <w:pStyle w:val="FootnoteText"/>
      </w:pPr>
      <w:r>
        <w:rPr>
          <w:rStyle w:val="FootnoteReference"/>
        </w:rPr>
        <w:footnoteRef/>
      </w:r>
      <w:r>
        <w:t xml:space="preserve">
          <w:r>
            <w:t xml:space="preserve">
              <w:r>
                <w:t xml:space="preserve"> A. Nyland, 2004.</w:t>
              </w:r>
            </w:t>
          </w:r>
        </w:t>
      </w:r>
    </w:p>
  </w:footnote>
  <w:footnote w:id="17470">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7464">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90.</w:t>
              </w:r>
            </w:t>
          </w:r>
        </w:t>
      </w:r>
    </w:p>
  </w:footnote>
  <w:footnote w:id="20385">
    <w:p>
      <w:pPr>
        <w:pStyle w:val="FootnoteText"/>
      </w:pPr>
      <w:r>
        <w:rPr>
          <w:rStyle w:val="FootnoteReference"/>
        </w:rPr>
        <w:footnoteRef/>
      </w:r>
      <w:r>
        <w:t xml:space="preserve">
          <w:r>
            <w:t xml:space="preserve">
              <w:r>
                <w:t xml:space="preserve"> Bruce, </w:t>
              </w:r>
              <w:r>
                <w:rPr>
                  <w:i/>
                </w:rPr>
                <w:t xml:space="preserve">The Epistle to the Hebrews</w:t>
              </w:r>
              <w:r>
                <w:t xml:space="preserve"> [NICNT], 86.</w:t>
              </w:r>
            </w:t>
          </w:r>
        </w:t>
      </w:r>
    </w:p>
  </w:footnote>
  <w:footnote w:id="17303">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89.</w:t>
              </w:r>
            </w:t>
          </w:r>
        </w:t>
      </w:r>
    </w:p>
  </w:footnote>
  <w:footnote w:id="11468">
    <w:p>
      <w:pPr>
        <w:pStyle w:val="FootnoteText"/>
      </w:pPr>
      <w:r>
        <w:rPr>
          <w:rStyle w:val="FootnoteReference"/>
        </w:rPr>
        <w:footnoteRef/>
      </w:r>
      <w:r>
        <w:t xml:space="preserve">
          <w:r>
            <w:t xml:space="preserve">
              <w:r>
                <w:t xml:space="preserve"> Strong’s, s.v. “δήπου.”</w:t>
              </w:r>
            </w:t>
          </w:r>
        </w:t>
      </w:r>
    </w:p>
  </w:footnote>
  <w:footnote w:id="14371">
    <w:p>
      <w:pPr>
        <w:pStyle w:val="FootnoteText"/>
      </w:pPr>
      <w:r>
        <w:rPr>
          <w:rStyle w:val="FootnoteReference"/>
        </w:rPr>
        <w:footnoteRef/>
      </w:r>
      <w:r>
        <w:t xml:space="preserve">
          <w:r>
            <w:t xml:space="preserve">
              <w:r>
                <w:t xml:space="preserve"> Ann Nyland, </w:t>
              </w:r>
              <w:r>
                <w:rPr>
                  <w:i/>
                </w:rPr>
                <w:t xml:space="preserve">The Source New Testament</w:t>
              </w:r>
              <w:r>
                <w:t xml:space="preserve">, 437.</w:t>
              </w:r>
            </w:t>
          </w:r>
        </w:t>
      </w:r>
    </w:p>
  </w:footnote>
  <w:footnote w:id="10479">
    <w:p>
      <w:pPr>
        <w:pStyle w:val="FootnoteText"/>
      </w:pPr>
      <w:r>
        <w:rPr>
          <w:rStyle w:val="FootnoteReference"/>
        </w:rPr>
        <w:footnoteRef/>
      </w:r>
      <w:r>
        <w:t xml:space="preserve">
          <w:r>
            <w:t xml:space="preserve">
              <w:r>
                <w:t xml:space="preserve"> R. C. H. Lenski, </w:t>
              </w:r>
              <w:r>
                <w:rPr>
                  <w:i/>
                </w:rPr>
                <w:t xml:space="preserve">Epistle to the Hebrews</w:t>
              </w:r>
              <w:r>
                <w:t xml:space="preserve">, 92.</w:t>
              </w:r>
            </w:t>
          </w:r>
        </w:t>
      </w:r>
    </w:p>
  </w:footnote>
  <w:footnote w:id="17522">
    <w:p>
      <w:pPr>
        <w:pStyle w:val="FootnoteText"/>
      </w:pPr>
      <w:r>
        <w:rPr>
          <w:rStyle w:val="FootnoteReference"/>
        </w:rPr>
        <w:footnoteRef/>
      </w:r>
      <w:r>
        <w:t xml:space="preserve">
          <w:r>
            <w:t xml:space="preserve">
              <w:r>
                <w:t xml:space="preserve"> BDAG, s.v. “ὀφείλω,” 3rd def.</w:t>
              </w:r>
            </w:t>
          </w:r>
        </w:t>
      </w:r>
    </w:p>
  </w:footnote>
  <w:footnote w:id="31238">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32213">
    <w:p>
      <w:pPr>
        <w:pStyle w:val="FootnoteText"/>
      </w:pPr>
      <w:r>
        <w:rPr>
          <w:rStyle w:val="FootnoteReference"/>
        </w:rPr>
        <w:footnoteRef/>
      </w:r>
      <w:r>
        <w:t xml:space="preserve">
          <w:r>
            <w:t xml:space="preserve">
              <w:r>
                <w:t xml:space="preserve"> Both definitions from </w:t>
              </w:r>
              <w:r>
                <w:rPr>
                  <w:i/>
                </w:rPr>
                <w:t xml:space="preserve">Merriam-Webster’s Collegiate Dictionary</w:t>
              </w:r>
              <w:r>
                <w:t xml:space="preserve">; 11th ed.</w:t>
              </w:r>
            </w:t>
          </w:r>
        </w:t>
      </w:r>
    </w:p>
  </w:footnote>
  <w:footnote w:id="28746">
    <w:p>
      <w:pPr>
        <w:pStyle w:val="FootnoteText"/>
      </w:pPr>
      <w:r>
        <w:rPr>
          <w:rStyle w:val="FootnoteReference"/>
        </w:rPr>
        <w:footnoteRef/>
      </w:r>
      <w:r>
        <w:t xml:space="preserve">
          <w:r>
            <w:t xml:space="preserve">
              <w:r>
                <w:t xml:space="preserve"> Merrill C. Tenney, </w:t>
              </w:r>
              <w:r>
                <w:rPr>
                  <w:i/>
                </w:rPr>
                <w:t xml:space="preserve">ZPEB</w:t>
              </w:r>
              <w:r>
                <w:t xml:space="preserve">.</w:t>
              </w:r>
            </w:t>
          </w:r>
        </w:t>
      </w:r>
    </w:p>
  </w:footnote>
  <w:footnote w:id="32664">
    <w:p>
      <w:pPr>
        <w:pStyle w:val="FootnoteText"/>
      </w:pPr>
      <w:r>
        <w:rPr>
          <w:rStyle w:val="FootnoteReference"/>
        </w:rPr>
        <w:footnoteRef/>
      </w:r>
      <w:r>
        <w:t xml:space="preserve">
          <w:r>
            <w:t xml:space="preserve">
              <w:r>
                <w:t xml:space="preserve"> Bruce, </w:t>
              </w:r>
              <w:r>
                <w:rPr>
                  <w:i/>
                </w:rPr>
                <w:t xml:space="preserve">Epistle to the Hebrews</w:t>
              </w:r>
              <w:r>
                <w:t xml:space="preserve"> [NICNT], 79.</w:t>
              </w:r>
            </w:t>
          </w:r>
        </w:t>
      </w:r>
    </w:p>
  </w:footnote>
  <w:footnote w:id="32358">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16080">
    <w:p>
      <w:pPr>
        <w:pStyle w:val="FootnoteText"/>
      </w:pPr>
      <w:r>
        <w:rPr>
          <w:rStyle w:val="FootnoteReference"/>
        </w:rPr>
        <w:footnoteRef/>
      </w:r>
      <w:r>
        <w:t xml:space="preserve">
          <w:r>
            <w:t xml:space="preserve">
              <w:r>
                <w:t xml:space="preserve"> R. C. H. Lenski, </w:t>
              </w:r>
              <w:r>
                <w:rPr>
                  <w:i/>
                </w:rPr>
                <w:t xml:space="preserve">Epistle to the Hebrews</w:t>
              </w:r>
              <w:r>
                <w:t xml:space="preserve">, 102.</w:t>
              </w:r>
            </w:t>
          </w:r>
        </w:t>
      </w:r>
    </w:p>
  </w:footnote>
  <w:footnote w:id="26940">
    <w:p>
      <w:pPr>
        <w:pStyle w:val="FootnoteText"/>
      </w:pPr>
      <w:r>
        <w:rPr>
          <w:rStyle w:val="FootnoteReference"/>
        </w:rPr>
        <w:footnoteRef/>
      </w:r>
      <w:r>
        <w:t xml:space="preserve">
          <w:r>
            <w:t xml:space="preserve">
              <w:r>
                <w:t xml:space="preserve"> Cf. Lenski.</w:t>
              </w:r>
            </w:t>
          </w:r>
        </w:t>
      </w:r>
    </w:p>
  </w:footnote>
  <w:footnote w:id="13390">
    <w:p>
      <w:pPr>
        <w:pStyle w:val="FootnoteText"/>
      </w:pPr>
      <w:r>
        <w:rPr>
          <w:rStyle w:val="FootnoteReference"/>
        </w:rPr>
        <w:footnoteRef/>
      </w:r>
      <w:r>
        <w:t xml:space="preserve">
          <w:r>
            <w:t xml:space="preserve">
              <w:r>
                <w:t xml:space="preserve"> Cf. BDAG; </w:t>
              </w:r>
              <w:r>
                <w:rPr>
                  <w:i/>
                </w:rPr>
                <w:t xml:space="preserve">EDNT</w:t>
              </w:r>
              <w:r>
                <w:t xml:space="preserve">; Thayer; s.v. </w:t>
              </w:r>
              <w:r>
                <w:rPr>
                  <w:i/>
                </w:rPr>
                <w:t xml:space="preserve">δοκέω.</w:t>
              </w:r>
            </w:t>
          </w:r>
        </w:t>
      </w:r>
    </w:p>
  </w:footnote>
  <w:footnote w:id="26182">
    <w:p>
      <w:pPr>
        <w:pStyle w:val="FootnoteText"/>
      </w:pPr>
      <w:r>
        <w:rPr>
          <w:rStyle w:val="FootnoteReference"/>
        </w:rPr>
        <w:footnoteRef/>
      </w:r>
      <w:r>
        <w:t xml:space="preserve">
          <w:r>
            <w:t xml:space="preserve">
              <w:r>
                <w:t xml:space="preserve"> Buchanan, </w:t>
              </w:r>
              <w:r>
                <w:rPr>
                  <w:i/>
                </w:rPr>
                <w:t xml:space="preserve">To the Hebrews</w:t>
              </w:r>
              <w:r>
                <w:t xml:space="preserve"> [AB], 75.</w:t>
              </w:r>
            </w:t>
          </w:r>
        </w:t>
      </w:r>
    </w:p>
  </w:footnote>
  <w:footnote w:id="30484">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2457">
    <w:p>
      <w:pPr>
        <w:pStyle w:val="FootnoteText"/>
      </w:pPr>
      <w:r>
        <w:rPr>
          <w:rStyle w:val="FootnoteReference"/>
        </w:rPr>
        <w:footnoteRef/>
      </w:r>
      <w:r>
        <w:t xml:space="preserve">
          <w:r>
            <w:t xml:space="preserve">
              <w:r>
                <w:t xml:space="preserve"> BDAG, s.v. “ἐνθύμησις.”</w:t>
              </w:r>
            </w:t>
          </w:r>
        </w:t>
      </w:r>
    </w:p>
  </w:footnote>
  <w:footnote w:id="31549">
    <w:p>
      <w:pPr>
        <w:pStyle w:val="FootnoteText"/>
      </w:pPr>
      <w:r>
        <w:rPr>
          <w:rStyle w:val="FootnoteReference"/>
        </w:rPr>
        <w:footnoteRef/>
      </w:r>
      <w:r>
        <w:t xml:space="preserve">
          <w:r>
            <w:t xml:space="preserve">
              <w:r>
                <w:t xml:space="preserve"> R. C. H. Lenski, </w:t>
              </w:r>
              <w:r>
                <w:rPr>
                  <w:i/>
                </w:rPr>
                <w:t xml:space="preserve">Epistle to the Hebrews</w:t>
              </w:r>
              <w:r>
                <w:t xml:space="preserve">, 140.</w:t>
              </w:r>
            </w:t>
          </w:r>
        </w:t>
      </w:r>
    </w:p>
  </w:footnote>
  <w:footnote w:id="25083">
    <w:p>
      <w:pPr>
        <w:pStyle w:val="FootnoteText"/>
      </w:pPr>
      <w:r>
        <w:rPr>
          <w:rStyle w:val="FootnoteReference"/>
        </w:rPr>
        <w:footnoteRef/>
      </w:r>
      <w:r>
        <w:t xml:space="preserve">
          <w:r>
            <w:t xml:space="preserve">
              <w:r>
                <w:t xml:space="preserve"> Ann Nyland, </w:t>
              </w:r>
              <w:r>
                <w:rPr>
                  <w:i/>
                </w:rPr>
                <w:t xml:space="preserve">The Source New Testament</w:t>
              </w:r>
              <w:r>
                <w:t xml:space="preserve">, 439.</w:t>
              </w:r>
            </w:t>
          </w:r>
        </w:t>
      </w:r>
    </w:p>
  </w:footnote>
  <w:footnote w:id="13237">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“antanaclasis.”</w:t>
              </w:r>
            </w:t>
          </w:r>
        </w:t>
      </w:r>
    </w:p>
  </w:footnote>
  <w:footnote w:id="18889">
    <w:p>
      <w:pPr>
        <w:pStyle w:val="FootnoteText"/>
      </w:pPr>
      <w:r>
        <w:rPr>
          <w:rStyle w:val="FootnoteReference"/>
        </w:rPr>
        <w:footnoteRef/>
      </w:r>
      <w:r>
        <w:t xml:space="preserve">
          <w:r>
            <w:t xml:space="preserve">
              <w:r>
                <w:t xml:space="preserve"> Thayer’s </w:t>
              </w:r>
              <w:r>
                <w:rPr>
                  <w:i/>
                </w:rPr>
                <w:t xml:space="preserve">Greek-English Lexicon</w:t>
              </w:r>
              <w:r>
                <w:t xml:space="preserve">, s.v. “συμπαθέω.”</w:t>
              </w:r>
            </w:t>
          </w:r>
        </w:t>
      </w:r>
    </w:p>
  </w:footnote>
  <w:footnote w:id="27976">
    <w:p>
      <w:pPr>
        <w:pStyle w:val="FootnoteText"/>
      </w:pPr>
      <w:r>
        <w:rPr>
          <w:rStyle w:val="FootnoteReference"/>
        </w:rPr>
        <w:footnoteRef/>
      </w:r>
      <w:r>
        <w:t xml:space="preserve">
          <w:r>
            <w:t xml:space="preserve">
              <w:r>
                <w:t xml:space="preserve"> Friberg, </w:t>
              </w:r>
              <w:r>
                <w:rPr>
                  <w:i/>
                </w:rPr>
                <w:t xml:space="preserve">Analytical Lexicon</w:t>
              </w:r>
              <w:r>
                <w:t xml:space="preserve">, s.v. “συμπαθέω.”</w:t>
              </w:r>
            </w:t>
          </w:r>
        </w:t>
      </w:r>
    </w:p>
  </w:footnote>
  <w:footnote w:id="23317">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 “συμπαθέω.”</w:t>
              </w:r>
            </w:t>
          </w:r>
        </w:t>
      </w:r>
    </w:p>
  </w:footnote>
  <w:footnote w:id="20223">
    <w:p>
      <w:pPr>
        <w:pStyle w:val="FootnoteText"/>
      </w:pPr>
      <w:r>
        <w:rPr>
          <w:rStyle w:val="FootnoteReference"/>
        </w:rPr>
        <w:footnoteRef/>
      </w:r>
      <w:r>
        <w:t xml:space="preserve">
          <w:r>
            <w:t xml:space="preserve">
              <w:r>
                <w:t xml:space="preserve"> Spicq, </w:t>
              </w:r>
              <w:r>
                <w:rPr>
                  <w:i/>
                </w:rPr>
                <w:t xml:space="preserve">Theological Lexicon of the New Testament</w:t>
              </w:r>
              <w:r>
                <w:t xml:space="preserve">.</w:t>
              </w:r>
            </w:t>
          </w:r>
        </w:t>
      </w:r>
    </w:p>
  </w:footnote>
  <w:footnote w:id="28739">
    <w:p>
      <w:pPr>
        <w:pStyle w:val="FootnoteText"/>
      </w:pPr>
      <w:r>
        <w:rPr>
          <w:rStyle w:val="FootnoteReference"/>
        </w:rPr>
        <w:footnoteRef/>
      </w:r>
      <w:r>
        <w:t xml:space="preserve">
          <w:r>
            <w:t xml:space="preserve">
              <w:r>
                <w:t xml:space="preserve"> BDAG, s.v. “ἀπό.”</w:t>
              </w:r>
            </w:t>
          </w:r>
        </w:t>
      </w:r>
    </w:p>
  </w:footnote>
  <w:footnote w:id="28642">
    <w:p>
      <w:pPr>
        <w:pStyle w:val="FootnoteText"/>
      </w:pPr>
      <w:r>
        <w:rPr>
          <w:rStyle w:val="FootnoteReference"/>
        </w:rPr>
        <w:footnoteRef/>
      </w:r>
      <w:r>
        <w:t xml:space="preserve">
          <w:r>
            <w:t xml:space="preserve">
              <w:r>
                <w:t xml:space="preserve"> Kenneth S. Wuest, </w:t>
              </w:r>
              <w:r>
                <w:rPr>
                  <w:i/>
                </w:rPr>
                <w:t xml:space="preserve">Wuest’s Word Studies: Hebrews in the Greek New Testament</w:t>
              </w:r>
              <w:r>
                <w:t xml:space="preserve">, 100.</w:t>
              </w:r>
            </w:t>
          </w:r>
        </w:t>
      </w:r>
    </w:p>
  </w:footnote>
  <w:footnote w:id="28272">
    <w:p>
      <w:pPr>
        <w:pStyle w:val="FootnoteText"/>
      </w:pPr>
      <w:r>
        <w:rPr>
          <w:rStyle w:val="FootnoteReference"/>
        </w:rPr>
        <w:footnoteRef/>
      </w:r>
      <w:r>
        <w:t xml:space="preserve">
          <w:r>
            <w:t xml:space="preserve">
              <w:r>
                <w:t xml:space="preserve"> Bruce, </w:t>
              </w:r>
              <w:r>
                <w:rPr>
                  <w:i/>
                </w:rPr>
                <w:t xml:space="preserve">Epistle to the Hebrews</w:t>
              </w:r>
              <w:r>
                <w:t xml:space="preserve"> [NICNT], 129-130.</w:t>
              </w:r>
            </w:t>
          </w:r>
        </w:t>
      </w:r>
    </w:p>
  </w:footnote>
  <w:footnote w:id="15513">
    <w:p>
      <w:pPr>
        <w:pStyle w:val="FootnoteText"/>
      </w:pPr>
      <w:r>
        <w:rPr>
          <w:rStyle w:val="FootnoteReference"/>
        </w:rPr>
        <w:footnoteRef/>
      </w:r>
      <w:r>
        <w:t xml:space="preserve">
          <w:r>
            <w:t xml:space="preserve">
              <w:r>
                <w:t xml:space="preserve"> Cf. Bullinger, </w:t>
              </w:r>
              <w:r>
                <w:rPr>
                  <w:i/>
                </w:rPr>
                <w:t xml:space="preserve">Figures of Speech</w:t>
              </w:r>
              <w:r>
                <w:t xml:space="preserve">, 176, “parembole.”</w:t>
              </w:r>
            </w:t>
          </w:r>
        </w:t>
      </w:r>
    </w:p>
  </w:footnote>
  <w:footnote w:id="31417">
    <w:p>
      <w:pPr>
        <w:pStyle w:val="FootnoteText"/>
      </w:pPr>
      <w:r>
        <w:rPr>
          <w:rStyle w:val="FootnoteReference"/>
        </w:rPr>
        <w:footnoteRef/>
      </w:r>
      <w:r>
        <w:t xml:space="preserve">
          <w:r>
            <w:t xml:space="preserve">
              <w:r>
                <w:t xml:space="preserve"> BDAG; Friberg; s.v. “αἴτιος.”</w:t>
              </w:r>
            </w:t>
          </w:r>
        </w:t>
      </w:r>
    </w:p>
  </w:footnote>
  <w:footnote w:id="28355">
    <w:p>
      <w:pPr>
        <w:pStyle w:val="FootnoteText"/>
      </w:pPr>
      <w:r>
        <w:rPr>
          <w:rStyle w:val="FootnoteReference"/>
        </w:rPr>
        <w:footnoteRef/>
      </w:r>
      <w:r>
        <w:t xml:space="preserve">
          <w:r>
            <w:t xml:space="preserve">
              <w:r>
                <w:t xml:space="preserve"> Montanari, </w:t>
              </w:r>
              <w:r>
                <w:rPr>
                  <w:i/>
                </w:rPr>
                <w:t xml:space="preserve">Brill Dictionary of Ancient Greek</w:t>
              </w:r>
              <w:r>
                <w:t xml:space="preserve">, s.v. “αἴτιος.”</w:t>
              </w:r>
            </w:t>
          </w:r>
        </w:t>
      </w:r>
    </w:p>
  </w:footnote>
  <w:footnote w:id="23357">
    <w:p>
      <w:pPr>
        <w:pStyle w:val="FootnoteText"/>
      </w:pPr>
      <w:r>
        <w:rPr>
          <w:rStyle w:val="FootnoteReference"/>
        </w:rPr>
        <w:footnoteRef/>
      </w:r>
      <w:r>
        <w:t xml:space="preserve">
          <w:r>
            <w:t xml:space="preserve">
              <w:r>
                <w:t xml:space="preserve"> Balz and Schneider, </w:t>
              </w:r>
              <w:r>
                <w:rPr>
                  <w:i/>
                </w:rPr>
                <w:t xml:space="preserve">EDNT</w:t>
              </w:r>
              <w:r>
                <w:t xml:space="preserve">, s.v. “αἴτιος.”</w:t>
              </w:r>
            </w:t>
          </w:r>
        </w:t>
      </w:r>
    </w:p>
  </w:footnote>
  <w:footnote w:id="22231">
    <w:p>
      <w:pPr>
        <w:pStyle w:val="FootnoteText"/>
      </w:pPr>
      <w:r>
        <w:rPr>
          <w:rStyle w:val="FootnoteReference"/>
        </w:rPr>
        <w:footnoteRef/>
      </w:r>
      <w:r>
        <w:t xml:space="preserve">
          <w:r>
            <w:t xml:space="preserve">
              <w:r>
                <w:t xml:space="preserve"> Brown and Comfort, </w:t>
              </w:r>
              <w:r>
                <w:rPr>
                  <w:i/>
                </w:rPr>
                <w:t xml:space="preserve">The New Greek-English Interlinear New Testament</w:t>
              </w:r>
              <w:r>
                <w:t xml:space="preserve">.</w:t>
              </w:r>
            </w:t>
          </w:r>
        </w:t>
      </w:r>
    </w:p>
  </w:footnote>
  <w:footnote w:id="15141">
    <w:p>
      <w:pPr>
        <w:pStyle w:val="FootnoteText"/>
      </w:pPr>
      <w:r>
        <w:rPr>
          <w:rStyle w:val="FootnoteReference"/>
        </w:rPr>
        <w:footnoteRef/>
      </w:r>
      <w:r>
        <w:t xml:space="preserve">
          <w:r>
            <w:t xml:space="preserve">
              <w:r>
                <w:t xml:space="preserve"> BDAG, s.v. “ὀφείλω.”</w:t>
              </w:r>
            </w:t>
          </w:r>
        </w:t>
      </w:r>
    </w:p>
  </w:footnote>
  <w:footnote w:id="16724">
    <w:p>
      <w:pPr>
        <w:pStyle w:val="FootnoteText"/>
      </w:pPr>
      <w:r>
        <w:rPr>
          <w:rStyle w:val="FootnoteReference"/>
        </w:rPr>
        <w:footnoteRef/>
      </w:r>
      <w:r>
        <w:t xml:space="preserve">
          <w:r>
            <w:t xml:space="preserve">
              <w:r>
                <w:t xml:space="preserve"> Cf. ESV; Stern, </w:t>
              </w:r>
              <w:r>
                <w:rPr>
                  <w:i/>
                </w:rPr>
                <w:t xml:space="preserve">Complete Jewish Bible</w:t>
              </w:r>
              <w:r>
                <w:t xml:space="preserve">.</w:t>
              </w:r>
            </w:t>
          </w:r>
        </w:t>
      </w:r>
    </w:p>
  </w:footnote>
  <w:footnote w:id="30972">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14928">
    <w:p>
      <w:pPr>
        <w:pStyle w:val="FootnoteText"/>
      </w:pPr>
      <w:r>
        <w:rPr>
          <w:rStyle w:val="FootnoteReference"/>
        </w:rPr>
        <w:footnoteRef/>
      </w:r>
      <w:r>
        <w:t xml:space="preserve">
          <w:r>
            <w:t xml:space="preserve">
              <w:r>
                <w:t xml:space="preserve"> BDAG, s.v. “μεσιτεύω.”</w:t>
              </w:r>
            </w:t>
          </w:r>
        </w:t>
      </w:r>
    </w:p>
  </w:footnote>
  <w:footnote w:id="31233">
    <w:p>
      <w:pPr>
        <w:pStyle w:val="FootnoteText"/>
      </w:pPr>
      <w:r>
        <w:rPr>
          <w:rStyle w:val="FootnoteReference"/>
        </w:rPr>
        <w:footnoteRef/>
      </w:r>
      <w:r>
        <w:t xml:space="preserve">
          <w:r>
            <w:t xml:space="preserve">
              <w:r>
                <w:t xml:space="preserve"> Lenski; BDAG.</w:t>
              </w:r>
            </w:t>
          </w:r>
        </w:t>
      </w:r>
    </w:p>
  </w:footnote>
  <w:footnote w:id="14572">
    <w:p>
      <w:pPr>
        <w:pStyle w:val="FootnoteText"/>
      </w:pPr>
      <w:r>
        <w:rPr>
          <w:rStyle w:val="FootnoteReference"/>
        </w:rPr>
        <w:footnoteRef/>
      </w:r>
      <w:r>
        <w:t xml:space="preserve">
          <w:r>
            <w:t xml:space="preserve">
              <w:r>
                <w:t xml:space="preserve"> BDAG, s.v. “ὧδε.”</w:t>
              </w:r>
            </w:t>
          </w:r>
        </w:t>
      </w:r>
    </w:p>
  </w:footnote>
  <w:footnote w:id="15016">
    <w:p>
      <w:pPr>
        <w:pStyle w:val="FootnoteText"/>
      </w:pPr>
      <w:r>
        <w:rPr>
          <w:rStyle w:val="FootnoteReference"/>
        </w:rPr>
        <w:footnoteRef/>
      </w:r>
      <w:r>
        <w:t xml:space="preserve">
          <w:r>
            <w:t xml:space="preserve">
              <w:r>
                <w:t xml:space="preserve"> Cf. BDAG.</w:t>
              </w:r>
            </w:t>
          </w:r>
        </w:t>
      </w:r>
    </w:p>
  </w:footnote>
  <w:footnote w:id="17286">
    <w:p>
      <w:pPr>
        <w:pStyle w:val="FootnoteText"/>
      </w:pPr>
      <w:r>
        <w:rPr>
          <w:rStyle w:val="FootnoteReference"/>
        </w:rPr>
        <w:footnoteRef/>
      </w:r>
      <w:r>
        <w:t xml:space="preserve">
          <w:r>
            <w:t xml:space="preserve">
              <w:r>
                <w:t xml:space="preserve"> Cf. Kittel, </w:t>
              </w:r>
              <w:r>
                <w:rPr>
                  <w:i/>
                </w:rPr>
                <w:t xml:space="preserve">Theological Dictionary</w:t>
              </w:r>
              <w:r>
                <w:t xml:space="preserve">.</w:t>
              </w:r>
            </w:t>
          </w:r>
        </w:t>
      </w:r>
    </w:p>
  </w:footnote>
  <w:footnote w:id="25102">
    <w:p>
      <w:pPr>
        <w:pStyle w:val="FootnoteText"/>
      </w:pPr>
      <w:r>
        <w:rPr>
          <w:rStyle w:val="FootnoteReference"/>
        </w:rPr>
        <w:footnoteRef/>
      </w:r>
      <w:r>
        <w:t xml:space="preserve">
          <w:r>
            <w:t xml:space="preserve">
              <w:r>
                <w:t xml:space="preserve"> Cf. BDAG, s.v. “ὅσιος.”</w:t>
              </w:r>
            </w:t>
          </w:r>
        </w:t>
      </w:r>
    </w:p>
  </w:footnote>
  <w:footnote w:id="27339">
    <w:p>
      <w:pPr>
        <w:pStyle w:val="FootnoteText"/>
      </w:pPr>
      <w:r>
        <w:rPr>
          <w:rStyle w:val="FootnoteReference"/>
        </w:rPr>
        <w:footnoteRef/>
      </w:r>
      <w:r>
        <w:t xml:space="preserve">
          <w:r>
            <w:t xml:space="preserve">
              <w:r>
                <w:t xml:space="preserve"> Bruce, </w:t>
              </w:r>
              <w:r>
                <w:rPr>
                  <w:i/>
                </w:rPr>
                <w:t xml:space="preserve">The Epistle to the Hebrews</w:t>
              </w:r>
              <w:r>
                <w:t xml:space="preserve"> [NICNT].</w:t>
              </w:r>
            </w:t>
          </w:r>
        </w:t>
      </w:r>
    </w:p>
  </w:footnote>
  <w:footnote w:id="15558">
    <w:p>
      <w:pPr>
        <w:pStyle w:val="FootnoteText"/>
      </w:pPr>
      <w:r>
        <w:rPr>
          <w:rStyle w:val="FootnoteReference"/>
        </w:rPr>
        <w:footnoteRef/>
      </w:r>
      <w:r>
        <w:t xml:space="preserve">
          <w:r>
            <w:t xml:space="preserve">
              <w:r>
                <w:t xml:space="preserve"> Cf. NIV; Nyland; cf. Hendriksen, </w:t>
              </w:r>
              <w:r>
                <w:rPr>
                  <w:i/>
                </w:rPr>
                <w:t xml:space="preserve">New Testament Commentary</w:t>
              </w:r>
              <w:r>
                <w:t xml:space="preserve">.</w:t>
              </w:r>
            </w:t>
          </w:r>
        </w:t>
      </w:r>
    </w:p>
  </w:footnote>
  <w:footnote w:id="28673">
    <w:p>
      <w:pPr>
        <w:pStyle w:val="FootnoteText"/>
      </w:pPr>
      <w:r>
        <w:rPr>
          <w:rStyle w:val="FootnoteReference"/>
        </w:rPr>
        <w:footnoteRef/>
      </w:r>
      <w:r>
        <w:t xml:space="preserve">
          <w:r>
            <w:t xml:space="preserve">
              <w:r>
                <w:t xml:space="preserve"> Cf. Lenski.</w:t>
              </w:r>
            </w:t>
          </w:r>
        </w:t>
      </w:r>
    </w:p>
  </w:footnote>
  <w:footnote w:id="15684">
    <w:p>
      <w:pPr>
        <w:pStyle w:val="FootnoteText"/>
      </w:pPr>
      <w:r>
        <w:rPr>
          <w:rStyle w:val="FootnoteReference"/>
        </w:rPr>
        <w:footnoteRef/>
      </w:r>
      <w:r>
        <w:t xml:space="preserve">
          <w:r>
            <w:t xml:space="preserve">
              <w:r>
                <w:t xml:space="preserve"> Liddell and Scott, </w:t>
              </w:r>
              <w:r>
                <w:rPr>
                  <w:i/>
                </w:rPr>
                <w:t xml:space="preserve">Greek-English Lexicon</w:t>
              </w:r>
              <w:r>
                <w:t xml:space="preserve">, s.v. “ἔχω.”</w:t>
              </w:r>
            </w:t>
          </w:r>
        </w:t>
      </w:r>
    </w:p>
  </w:footnote>
  <w:footnote w:id="29776">
    <w:p>
      <w:pPr>
        <w:pStyle w:val="FootnoteText"/>
      </w:pPr>
      <w:r>
        <w:rPr>
          <w:rStyle w:val="FootnoteReference"/>
        </w:rPr>
        <w:footnoteRef/>
      </w:r>
      <w:r>
        <w:t xml:space="preserve">
          <w:r>
            <w:t xml:space="preserve">
              <w:r>
                <w:t xml:space="preserve"> R. C. H. Lenski, </w:t>
              </w:r>
              <w:r>
                <w:rPr>
                  <w:i/>
                </w:rPr>
                <w:t xml:space="preserve">Epistle to the Hebrews</w:t>
              </w:r>
              <w:r>
                <w:t xml:space="preserve">; C. Koester,</w:t>
              </w:r>
              <w:r>
                <w:rPr>
                  <w:i/>
                </w:rPr>
                <w:t xml:space="preserve"> Hebrews</w:t>
              </w:r>
              <w:r>
                <w:t xml:space="preserve"> [AB].</w:t>
              </w:r>
            </w:t>
          </w:r>
        </w:t>
      </w:r>
    </w:p>
  </w:footnote>
  <w:footnote w:id="23704">
    <w:p>
      <w:pPr>
        <w:pStyle w:val="FootnoteText"/>
      </w:pPr>
      <w:r>
        <w:rPr>
          <w:rStyle w:val="FootnoteReference"/>
        </w:rPr>
        <w:footnoteRef/>
      </w:r>
      <w:r>
        <w:t xml:space="preserve">
          <w:r>
            <w:t xml:space="preserve">
              <w:r>
                <w:t xml:space="preserve"> G. H. Lang, </w:t>
              </w:r>
              <w:r>
                <w:rPr>
                  <w:i/>
                </w:rPr>
                <w:t xml:space="preserve">Epistle to the Hebrews</w:t>
              </w:r>
              <w:r>
                <w:t xml:space="preserve">.</w:t>
              </w:r>
            </w:t>
          </w:r>
        </w:t>
      </w:r>
    </w:p>
  </w:footnote>
  <w:footnote w:id="15457">
    <w:p>
      <w:pPr>
        <w:pStyle w:val="FootnoteText"/>
      </w:pPr>
      <w:r>
        <w:rPr>
          <w:rStyle w:val="FootnoteReference"/>
        </w:rPr>
        <w:footnoteRef/>
      </w:r>
      <w:r>
        <w:t xml:space="preserve">
          <w:r>
            <w:t xml:space="preserve">
              <w:r>
                <w:t xml:space="preserve"> Cf. F. F. Bruce, </w:t>
              </w:r>
              <w:r>
                <w:rPr>
                  <w:i/>
                </w:rPr>
                <w:t xml:space="preserve">Epistle to the Hebrews</w:t>
              </w:r>
              <w:r>
                <w:t xml:space="preserve"> [NICNT]; John Owen, </w:t>
              </w:r>
              <w:r>
                <w:rPr>
                  <w:i/>
                </w:rPr>
                <w:t xml:space="preserve">Hebrews: The Epistle of Warning</w:t>
              </w:r>
              <w:r>
                <w:t xml:space="preserve">.</w:t>
              </w:r>
            </w:t>
          </w:r>
        </w:t>
      </w:r>
    </w:p>
  </w:footnote>
  <w:footnote w:id="23618">
    <w:p>
      <w:pPr>
        <w:pStyle w:val="FootnoteText"/>
      </w:pPr>
      <w:r>
        <w:rPr>
          <w:rStyle w:val="FootnoteReference"/>
        </w:rPr>
        <w:footnoteRef/>
      </w:r>
      <w:r>
        <w:t xml:space="preserve">
          <w:r>
            <w:t xml:space="preserve">
              <w:r>
                <w:t xml:space="preserve"> Heinrich Meyer, </w:t>
              </w:r>
              <w:r>
                <w:rPr>
                  <w:i/>
                </w:rPr>
                <w:t xml:space="preserve">Critical and Exegetical Commentary on the New Testament</w:t>
              </w:r>
              <w:r>
                <w:t xml:space="preserve">.</w:t>
              </w:r>
            </w:t>
          </w:r>
        </w:t>
      </w:r>
    </w:p>
  </w:footnote>
  <w:footnote w:id="10603">
    <w:p>
      <w:pPr>
        <w:pStyle w:val="FootnoteText"/>
      </w:pPr>
      <w:r>
        <w:rPr>
          <w:rStyle w:val="FootnoteReference"/>
        </w:rPr>
        <w:footnoteRef/>
      </w:r>
      <w:r>
        <w:t xml:space="preserve">
          <w:r>
            <w:t xml:space="preserve">
              <w:r>
                <w:t xml:space="preserve"> Kistemaker, </w:t>
              </w:r>
              <w:r>
                <w:rPr>
                  <w:i/>
                </w:rPr>
                <w:t xml:space="preserve">New Testament Commentary: Thessalonians, the Pastorals, and Hebrews</w:t>
              </w:r>
              <w:r>
                <w:t xml:space="preserve">.</w:t>
              </w:r>
            </w:t>
          </w:r>
        </w:t>
      </w:r>
    </w:p>
  </w:footnote>
  <w:footnote w:id="13920">
    <w:p>
      <w:pPr>
        <w:pStyle w:val="FootnoteText"/>
      </w:pPr>
      <w:r>
        <w:rPr>
          <w:rStyle w:val="FootnoteReference"/>
        </w:rPr>
        <w:footnoteRef/>
      </w:r>
      <w:r>
        <w:t xml:space="preserve">
          <w:r>
            <w:t xml:space="preserve">
              <w:r>
                <w:t xml:space="preserve"> Moffatt, </w:t>
              </w:r>
              <w:r>
                <w:rPr>
                  <w:i/>
                </w:rPr>
                <w:t xml:space="preserve">Epistle to the Hebrews</w:t>
              </w:r>
              <w:r>
                <w:t xml:space="preserve"> [ICC].</w:t>
              </w:r>
            </w:t>
          </w:r>
        </w:t>
      </w:r>
    </w:p>
  </w:footnote>
  <w:footnote w:id="30860">
    <w:p>
      <w:pPr>
        <w:pStyle w:val="FootnoteText"/>
      </w:pPr>
      <w:r>
        <w:rPr>
          <w:rStyle w:val="FootnoteReference"/>
        </w:rPr>
        <w:footnoteRef/>
      </w:r>
      <w:r>
        <w:t xml:space="preserve">
          <w:r>
            <w:t xml:space="preserve">
              <w:r>
                <w:t xml:space="preserve"> Bruce, </w:t>
              </w:r>
              <w:r>
                <w:rPr>
                  <w:i/>
                </w:rPr>
                <w:t xml:space="preserve">The Epistle to the Hebrews</w:t>
              </w:r>
              <w:r>
                <w:t xml:space="preserve"> [NICNT], 249.</w:t>
              </w:r>
            </w:t>
          </w:r>
        </w:t>
      </w:r>
    </w:p>
  </w:footnote>
  <w:footnote w:id="25877">
    <w:p>
      <w:pPr>
        <w:pStyle w:val="FootnoteText"/>
      </w:pPr>
      <w:r>
        <w:rPr>
          <w:rStyle w:val="FootnoteReference"/>
        </w:rPr>
        <w:footnoteRef/>
      </w:r>
      <w:r>
        <w:t xml:space="preserve">
          <w:r>
            <w:t xml:space="preserve">
              <w:r>
                <w:t xml:space="preserve"> BDAG, s.v. “παροξυσμός.”</w:t>
              </w:r>
            </w:t>
          </w:r>
        </w:t>
      </w:r>
    </w:p>
  </w:footnote>
  <w:footnote w:id="30213">
    <w:p>
      <w:pPr>
        <w:pStyle w:val="FootnoteText"/>
      </w:pPr>
      <w:r>
        <w:rPr>
          <w:rStyle w:val="FootnoteReference"/>
        </w:rPr>
        <w:footnoteRef/>
      </w:r>
      <w:r>
        <w:t xml:space="preserve">
          <w:r>
            <w:t xml:space="preserve">
              <w:r>
                <w:t xml:space="preserve"> Harold W. Attridge, </w:t>
              </w:r>
              <w:r>
                <w:rPr>
                  <w:i/>
                </w:rPr>
                <w:t xml:space="preserve">The Epistle to the Hebrews: A Commentary on the Epistle to the Hebrews</w:t>
              </w:r>
              <w:r>
                <w:t xml:space="preserve"> [Herm], 294.</w:t>
              </w:r>
            </w:t>
          </w:r>
        </w:t>
      </w:r>
    </w:p>
  </w:footnote>
  <w:footnote w:id="3172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198, “epizeuxis.”</w:t>
              </w:r>
            </w:t>
          </w:r>
        </w:t>
      </w:r>
    </w:p>
  </w:footnote>
  <w:footnote w:id="26063">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8786">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25635">
    <w:p>
      <w:pPr>
        <w:pStyle w:val="FootnoteText"/>
      </w:pPr>
      <w:r>
        <w:rPr>
          <w:rStyle w:val="FootnoteReference"/>
        </w:rPr>
        <w:footnoteRef/>
      </w:r>
      <w:r>
        <w:t xml:space="preserve">
          <w:r>
            <w:t xml:space="preserve">
              <w:r>
                <w:t xml:space="preserve"> BDAG, s.v. “μετατίθημι.”</w:t>
              </w:r>
            </w:t>
          </w:r>
        </w:t>
      </w:r>
    </w:p>
  </w:footnote>
  <w:footnote w:id="30745">
    <w:p>
      <w:pPr>
        <w:pStyle w:val="FootnoteText"/>
      </w:pPr>
      <w:r>
        <w:rPr>
          <w:rStyle w:val="FootnoteReference"/>
        </w:rPr>
        <w:footnoteRef/>
      </w:r>
      <w:r>
        <w:t xml:space="preserve">
          <w:r>
            <w:t xml:space="preserve">
              <w:r>
                <w:t xml:space="preserve"> For a discussion, see William L. Lane, </w:t>
              </w:r>
              <w:r>
                <w:rPr>
                  <w:i/>
                </w:rPr>
                <w:t xml:space="preserve">Hebrews 9-13</w:t>
              </w:r>
              <w:r>
                <w:t xml:space="preserve">, WBC, 344-345.</w:t>
              </w:r>
            </w:t>
          </w:r>
        </w:t>
      </w:r>
    </w:p>
  </w:footnote>
  <w:footnote w:id="26138">
    <w:p>
      <w:pPr>
        <w:pStyle w:val="FootnoteText"/>
      </w:pPr>
      <w:r>
        <w:rPr>
          <w:rStyle w:val="FootnoteReference"/>
        </w:rPr>
        <w:footnoteRef/>
      </w:r>
      <w:r>
        <w:t xml:space="preserve">
          <w:r>
            <w:t xml:space="preserve">
              <w:r>
                <w:t xml:space="preserve"> Cf. Wuest, </w:t>
              </w:r>
              <w:r>
                <w:rPr>
                  <w:i/>
                </w:rPr>
                <w:t xml:space="preserve">New Testament</w:t>
              </w:r>
              <w:r>
                <w:t xml:space="preserve">, “out from amongst the dead,” 532.</w:t>
              </w:r>
            </w:t>
          </w:r>
        </w:t>
      </w:r>
    </w:p>
  </w:footnote>
  <w:footnote w:id="15879">
    <w:p>
      <w:pPr>
        <w:pStyle w:val="FootnoteText"/>
      </w:pPr>
      <w:r>
        <w:rPr>
          <w:rStyle w:val="FootnoteReference"/>
        </w:rPr>
        <w:footnoteRef/>
      </w:r>
      <w:r>
        <w:t xml:space="preserve">
          <w:r>
            <w:t xml:space="preserve">
              <w:r>
                <w:t xml:space="preserve"> BDAG, s.v. “ἀστεῖος.”</w:t>
              </w:r>
            </w:t>
          </w:r>
        </w:t>
      </w:r>
    </w:p>
  </w:footnote>
  <w:footnote w:id="14935">
    <w:p>
      <w:pPr>
        <w:pStyle w:val="FootnoteText"/>
      </w:pPr>
      <w:r>
        <w:rPr>
          <w:rStyle w:val="FootnoteReference"/>
        </w:rPr>
        <w:footnoteRef/>
      </w:r>
      <w:r>
        <w:t xml:space="preserve">
          <w:r>
            <w:t xml:space="preserve">
              <w:r>
                <w:t xml:space="preserve"> F. F. Bruce, </w:t>
              </w:r>
              <w:r>
                <w:rPr>
                  <w:i/>
                </w:rPr>
                <w:t xml:space="preserve">The Epistle to the Hebrews</w:t>
              </w:r>
              <w:r>
                <w:t xml:space="preserve"> [NICNT], 343.</w:t>
              </w:r>
            </w:t>
          </w:r>
        </w:t>
      </w:r>
    </w:p>
  </w:footnote>
  <w:footnote w:id="1864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5:432.</w:t>
              </w:r>
            </w:t>
          </w:r>
        </w:t>
      </w:r>
    </w:p>
  </w:footnote>
  <w:footnote w:id="16423">
    <w:p>
      <w:pPr>
        <w:pStyle w:val="FootnoteText"/>
      </w:pPr>
      <w:r>
        <w:rPr>
          <w:rStyle w:val="FootnoteReference"/>
        </w:rPr>
        <w:footnoteRef/>
      </w:r>
      <w:r>
        <w:t xml:space="preserve">
          <w:r>
            <w:t xml:space="preserve">
              <w:r>
                <w:t xml:space="preserve"> Balz and Schneider, </w:t>
              </w:r>
              <w:r>
                <w:rPr>
                  <w:i/>
                </w:rPr>
                <w:t xml:space="preserve">EDNT</w:t>
              </w:r>
              <w:r>
                <w:t xml:space="preserve">, 1:164.</w:t>
              </w:r>
            </w:t>
          </w:r>
        </w:t>
      </w:r>
    </w:p>
  </w:footnote>
  <w:footnote w:id="23399">
    <w:p>
      <w:pPr>
        <w:pStyle w:val="FootnoteText"/>
      </w:pPr>
      <w:r>
        <w:rPr>
          <w:rStyle w:val="FootnoteReference"/>
        </w:rPr>
        <w:footnoteRef/>
      </w:r>
      <w:r>
        <w:t xml:space="preserve">
          <w:r>
            <w:t xml:space="preserve">
              <w:r>
                <w:t xml:space="preserve"> Lane, </w:t>
              </w:r>
              <w:r>
                <w:rPr>
                  <w:i/>
                </w:rPr>
                <w:t xml:space="preserve">Hebrews 9-13</w:t>
              </w:r>
              <w:r>
                <w:t xml:space="preserve"> [WBC].</w:t>
              </w:r>
            </w:t>
          </w:r>
        </w:t>
      </w:r>
    </w:p>
  </w:footnote>
  <w:footnote w:id="29459">
    <w:p>
      <w:pPr>
        <w:pStyle w:val="FootnoteText"/>
      </w:pPr>
      <w:r>
        <w:rPr>
          <w:rStyle w:val="FootnoteReference"/>
        </w:rPr>
        <w:footnoteRef/>
      </w:r>
      <w:r>
        <w:t xml:space="preserve">
          <w:r>
            <w:t xml:space="preserve">
              <w:r>
                <w:t xml:space="preserve"> Cf. BDAG, s.v. “ἐκλανθάνομαι.”</w:t>
              </w:r>
            </w:t>
          </w:r>
        </w:t>
      </w:r>
    </w:p>
  </w:footnote>
  <w:footnote w:id="31083">
    <w:p>
      <w:pPr>
        <w:pStyle w:val="FootnoteText"/>
      </w:pPr>
      <w:r>
        <w:rPr>
          <w:rStyle w:val="FootnoteReference"/>
        </w:rPr>
        <w:footnoteRef/>
      </w:r>
      <w:r>
        <w:t xml:space="preserve">
          <w:r>
            <w:t xml:space="preserve">
              <w:r>
                <w:t xml:space="preserve"> BDAG, s.v. “ἐπισκοπέω.”</w:t>
              </w:r>
            </w:t>
          </w:r>
        </w:t>
      </w:r>
    </w:p>
  </w:footnote>
  <w:footnote w:id="23111">
    <w:p>
      <w:pPr>
        <w:pStyle w:val="FootnoteText"/>
      </w:pPr>
      <w:r>
        <w:rPr>
          <w:rStyle w:val="FootnoteReference"/>
        </w:rPr>
        <w:footnoteRef/>
      </w:r>
      <w:r>
        <w:t xml:space="preserve">
          <w:r>
            <w:t xml:space="preserve">
              <w:r>
                <w:t xml:space="preserve"> Cf. BDAG; William Lane, </w:t>
              </w:r>
              <w:r>
                <w:rPr>
                  <w:i/>
                </w:rPr>
                <w:t xml:space="preserve">Hebrews 9-13</w:t>
              </w:r>
              <w:r>
                <w:t xml:space="preserve"> [WBC].</w:t>
              </w:r>
            </w:t>
          </w:r>
        </w:t>
      </w:r>
    </w:p>
  </w:footnote>
  <w:footnote w:id="29187">
    <w:p>
      <w:pPr>
        <w:pStyle w:val="FootnoteText"/>
      </w:pPr>
      <w:r>
        <w:rPr>
          <w:rStyle w:val="FootnoteReference"/>
        </w:rPr>
        <w:footnoteRef/>
      </w:r>
      <w:r>
        <w:t xml:space="preserve">
          <w:r>
            <w:t xml:space="preserve">
              <w:r>
                <w:t xml:space="preserve"> See William Lane, </w:t>
              </w:r>
              <w:r>
                <w:rPr>
                  <w:i/>
                </w:rPr>
                <w:t xml:space="preserve">Hebrews 9-13</w:t>
              </w:r>
              <w:r>
                <w:t xml:space="preserve"> [WBC].</w:t>
              </w:r>
            </w:t>
          </w:r>
        </w:t>
      </w:r>
    </w:p>
  </w:footnote>
  <w:footnote w:id="26538">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7902">
    <w:p>
      <w:pPr>
        <w:pStyle w:val="FootnoteText"/>
      </w:pPr>
      <w:r>
        <w:rPr>
          <w:rStyle w:val="FootnoteReference"/>
        </w:rPr>
        <w:footnoteRef/>
      </w:r>
      <w:r>
        <w:t xml:space="preserve">
          <w:r>
            <w:t xml:space="preserve">
              <w:r>
                <w:t xml:space="preserve"> Vincent, </w:t>
              </w:r>
              <w:r>
                <w:rPr>
                  <w:i/>
                </w:rPr>
                <w:t xml:space="preserve">Word Studies</w:t>
              </w:r>
              <w:r>
                <w:t xml:space="preserve">, 4:559.</w:t>
              </w:r>
            </w:t>
          </w:r>
        </w:t>
      </w:r>
    </w:p>
  </w:footnote>
  <w:footnote w:id="16939">
    <w:p>
      <w:pPr>
        <w:pStyle w:val="FootnoteText"/>
      </w:pPr>
      <w:r>
        <w:rPr>
          <w:rStyle w:val="FootnoteReference"/>
        </w:rPr>
        <w:footnoteRef/>
      </w:r>
      <w:r>
        <w:t xml:space="preserve">
          <w:r>
            <w:t xml:space="preserve">
              <w:r>
                <w:t xml:space="preserve"> See also, William Lane, </w:t>
              </w:r>
              <w:r>
                <w:rPr>
                  <w:i/>
                </w:rPr>
                <w:t xml:space="preserve">Hebrews 9-13</w:t>
              </w:r>
              <w:r>
                <w:t xml:space="preserve"> [WBC].</w:t>
              </w:r>
            </w:t>
          </w:r>
        </w:t>
      </w:r>
    </w:p>
  </w:footnote>
  <w:footnote w:id="14983">
    <w:p>
      <w:pPr>
        <w:pStyle w:val="FootnoteText"/>
      </w:pPr>
      <w:r>
        <w:rPr>
          <w:rStyle w:val="FootnoteReference"/>
        </w:rPr>
        <w:footnoteRef/>
      </w:r>
      <w:r>
        <w:t xml:space="preserve">
          <w:r>
            <w:t xml:space="preserve">
              <w:r>
                <w:t xml:space="preserve"> Helmut Koester, “Outside the Camp,” 299-315.</w:t>
              </w:r>
            </w:t>
          </w:r>
        </w:t>
      </w:r>
    </w:p>
  </w:footnote>
  <w:footnote w:id="17175">
    <w:p>
      <w:pPr>
        <w:pStyle w:val="FootnoteText"/>
      </w:pPr>
      <w:r>
        <w:rPr>
          <w:rStyle w:val="FootnoteReference"/>
        </w:rPr>
        <w:footnoteRef/>
      </w:r>
      <w:r>
        <w:t xml:space="preserve">
          <w:r>
            <w:t xml:space="preserve">
              <w:r>
                <w:t xml:space="preserve"> Ernest L. Martin, </w:t>
              </w:r>
              <w:r>
                <w:rPr>
                  <w:i/>
                </w:rPr>
                <w:t xml:space="preserve">Secrets of Golgotha</w:t>
              </w:r>
              <w:r>
                <w:t xml:space="preserve">, 14-15.</w:t>
              </w:r>
            </w:t>
          </w:r>
        </w:t>
      </w:r>
    </w:p>
  </w:footnote>
  <w:footnote w:id="18133">
    <w:p>
      <w:pPr>
        <w:pStyle w:val="FootnoteText"/>
      </w:pPr>
      <w:r>
        <w:rPr>
          <w:rStyle w:val="FootnoteReference"/>
        </w:rPr>
        <w:footnoteRef/>
      </w:r>
      <w:r>
        <w:t xml:space="preserve">
          <w:r>
            <w:t xml:space="preserve">
              <w:r>
                <w:t xml:space="preserve"> Martin, </w:t>
              </w:r>
              <w:r>
                <w:rPr>
                  <w:i/>
                </w:rPr>
                <w:t xml:space="preserve">Secrets of Golgotha</w:t>
              </w:r>
              <w:r>
                <w:t xml:space="preserve">, 16.</w:t>
              </w:r>
            </w:t>
          </w:r>
        </w:t>
      </w:r>
    </w:p>
  </w:footnote>
  <w:footnote w:id="12211">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24102">
    <w:p>
      <w:pPr>
        <w:pStyle w:val="FootnoteText"/>
      </w:pPr>
      <w:r>
        <w:rPr>
          <w:rStyle w:val="FootnoteReference"/>
        </w:rPr>
        <w:footnoteRef/>
      </w:r>
      <w:r>
        <w:t xml:space="preserve">
          <w:r>
            <w:t xml:space="preserve">
              <w:r>
                <w:t xml:space="preserve"> Cf. Wuest, </w:t>
              </w:r>
              <w:r>
                <w:rPr>
                  <w:i/>
                </w:rPr>
                <w:t xml:space="preserve">New Testament</w:t>
              </w:r>
              <w:r>
                <w:t xml:space="preserve">, “up out from among the dead,” 537.</w:t>
              </w:r>
            </w:t>
          </w:r>
        </w:t>
      </w:r>
    </w:p>
  </w:footnote>
  <w:footnote w:id="30141">
    <w:p>
      <w:pPr>
        <w:pStyle w:val="FootnoteText"/>
      </w:pPr>
      <w:r>
        <w:rPr>
          <w:rStyle w:val="FootnoteReference"/>
        </w:rPr>
        <w:footnoteRef/>
      </w:r>
      <w:r>
        <w:t xml:space="preserve">
          <w:r>
            <w:t xml:space="preserve">
              <w:r>
                <w:t xml:space="preserve"> Cf. R. C. H. Lenski, </w:t>
              </w:r>
              <w:r>
                <w:rPr>
                  <w:i/>
                </w:rPr>
                <w:t xml:space="preserve">Interpretation of Hebrews</w:t>
              </w:r>
              <w:r>
                <w:t xml:space="preserve">, 501-503.</w:t>
              </w:r>
            </w:t>
          </w:r>
        </w:t>
      </w:r>
    </w:p>
  </w:footnote>
  <w:footnote w:id="19444">
    <w:p>
      <w:pPr>
        <w:pStyle w:val="FootnoteText"/>
      </w:pPr>
      <w:r>
        <w:rPr>
          <w:rStyle w:val="FootnoteReference"/>
        </w:rPr>
        <w:footnoteRef/>
      </w:r>
      <w:r>
        <w:t xml:space="preserve">
          <w:r>
            <w:t xml:space="preserve">
              <w:r>
                <w:t xml:space="preserve"> Charles Williams, </w:t>
              </w:r>
              <w:r>
                <w:rPr>
                  <w:i/>
                </w:rPr>
                <w:t xml:space="preserve">The New Testament: A Private Translation in the Language of the People</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282395">
    <w:multiLevelType w:val="hybridMultilevel"/>
    <w:lvl w:ilvl="0" w:tplc="70204152">
      <w:start w:val="1"/>
      <w:numFmt w:val="decimal"/>
      <w:lvlText w:val="%1."/>
      <w:lvlJc w:val="left"/>
      <w:pPr>
        <w:ind w:left="720" w:hanging="360"/>
      </w:pPr>
    </w:lvl>
    <w:lvl w:ilvl="1" w:tplc="70204152" w:tentative="1">
      <w:start w:val="1"/>
      <w:numFmt w:val="lowerLetter"/>
      <w:lvlText w:val="%2."/>
      <w:lvlJc w:val="left"/>
      <w:pPr>
        <w:ind w:left="1440" w:hanging="360"/>
      </w:pPr>
    </w:lvl>
    <w:lvl w:ilvl="2" w:tplc="70204152" w:tentative="1">
      <w:start w:val="1"/>
      <w:numFmt w:val="lowerRoman"/>
      <w:lvlText w:val="%3."/>
      <w:lvlJc w:val="right"/>
      <w:pPr>
        <w:ind w:left="2160" w:hanging="180"/>
      </w:pPr>
    </w:lvl>
    <w:lvl w:ilvl="3" w:tplc="70204152" w:tentative="1">
      <w:start w:val="1"/>
      <w:numFmt w:val="decimal"/>
      <w:lvlText w:val="%4."/>
      <w:lvlJc w:val="left"/>
      <w:pPr>
        <w:ind w:left="2880" w:hanging="360"/>
      </w:pPr>
    </w:lvl>
    <w:lvl w:ilvl="4" w:tplc="70204152" w:tentative="1">
      <w:start w:val="1"/>
      <w:numFmt w:val="lowerLetter"/>
      <w:lvlText w:val="%5."/>
      <w:lvlJc w:val="left"/>
      <w:pPr>
        <w:ind w:left="3600" w:hanging="360"/>
      </w:pPr>
    </w:lvl>
    <w:lvl w:ilvl="5" w:tplc="70204152" w:tentative="1">
      <w:start w:val="1"/>
      <w:numFmt w:val="lowerRoman"/>
      <w:lvlText w:val="%6."/>
      <w:lvlJc w:val="right"/>
      <w:pPr>
        <w:ind w:left="4320" w:hanging="180"/>
      </w:pPr>
    </w:lvl>
    <w:lvl w:ilvl="6" w:tplc="70204152" w:tentative="1">
      <w:start w:val="1"/>
      <w:numFmt w:val="decimal"/>
      <w:lvlText w:val="%7."/>
      <w:lvlJc w:val="left"/>
      <w:pPr>
        <w:ind w:left="5040" w:hanging="360"/>
      </w:pPr>
    </w:lvl>
    <w:lvl w:ilvl="7" w:tplc="70204152" w:tentative="1">
      <w:start w:val="1"/>
      <w:numFmt w:val="lowerLetter"/>
      <w:lvlText w:val="%8."/>
      <w:lvlJc w:val="left"/>
      <w:pPr>
        <w:ind w:left="5760" w:hanging="360"/>
      </w:pPr>
    </w:lvl>
    <w:lvl w:ilvl="8" w:tplc="70204152" w:tentative="1">
      <w:start w:val="1"/>
      <w:numFmt w:val="lowerRoman"/>
      <w:lvlText w:val="%9."/>
      <w:lvlJc w:val="right"/>
      <w:pPr>
        <w:ind w:left="6480" w:hanging="180"/>
      </w:pPr>
    </w:lvl>
  </w:abstractNum>
  <w:abstractNum w:abstractNumId="31879">
    <w:multiLevelType w:val="hybridMultilevel"/>
    <w:lvl w:ilvl="0" w:tplc="379059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879">
    <w:abstractNumId w:val="31879"/>
  </w:num>
  <w:num w:numId="44282395">
    <w:abstractNumId w:val="442823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7267613" Type="http://schemas.openxmlformats.org/officeDocument/2006/relationships/numbering" Target="numbering.xml"/><Relationship Id="rId556706924" Type="http://schemas.openxmlformats.org/officeDocument/2006/relationships/comments" Target="comments.xml"/><Relationship Id="rId299168680f59e388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