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FootnoteReference"/>
        </w:rPr>
        <w:footnoteReference w:id="19922"/>
      </w:r>
      <w:r>
        <w:rPr/>
        <w:t xml:space="preserve"> The Greeks used it of commands by people, but especially of commands by oracles and gods.</w:t>
      </w:r>
      <w:r>
        <w:rPr>
          <w:rStyle w:val="FootnoteReference"/>
        </w:rPr>
        <w:footnoteReference w:id="10402"/>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FootnoteReference"/>
        </w:rPr>
        <w:footnoteReference w:id="24282"/>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FootnoteReference"/>
        </w:rPr>
        <w:footnoteReference w:id="27693"/>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FootnoteReference"/>
        </w:rPr>
        <w:footnoteReference w:id="14658"/>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FootnoteReference"/>
        </w:rPr>
        <w:footnoteReference w:id="18708"/>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FootnoteReference"/>
        </w:rPr>
        <w:footnoteReference w:id="29233"/>
      </w:r>
      <w:r>
        <w:rPr/>
        <w:t xml:space="preserve"> This statement is said to be </w:t>
      </w:r>
      <w:r>
        <w:rPr>
          <w:i/>
          <w:iCs/>
        </w:rPr>
        <w:t xml:space="preserve">pisto</w:t>
      </w:r>
      <w:r>
        <w:rPr/>
        <w:t xml:space="preserve">s (#4103 πιστός), that is “worthy of belief or trust, trustworthy, faithful, dependable, inspiring.”</w:t>
      </w:r>
      <w:r>
        <w:rPr>
          <w:rStyle w:val="FootnoteReference"/>
        </w:rPr>
        <w:footnoteReference w:id="19777"/>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48898892"/>
        </w:numPr>
        <w:spacing w:before="0" w:after="0" w:line="240" w:lineRule="auto"/>
        <w:rPr/>
      </w:pPr>
      <w:r>
        <w:rPr/>
        <w:t xml:space="preserve">In the very same verse, Paul says that this “King of the ages” is invisible. This is only true of God the Father (Col. 1:15), not of Jesus.</w:t>
      </w:r>
    </w:p>
    <w:p>
      <w:pPr>
        <w:numPr>
          <w:ilvl w:val="0"/>
          <w:numId w:val="48898893"/>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48898894"/>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48898895"/>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FootnoteReference"/>
        </w:rPr>
        <w:footnoteReference w:id="25821"/>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FootnoteReference"/>
        </w:rPr>
        <w:footnoteReference w:id="31914"/>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FootnoteReference"/>
        </w:rPr>
        <w:footnoteReference w:id="28674"/>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FootnoteReference"/>
        </w:rPr>
        <w:footnoteReference w:id="11785"/>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16309"/>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FootnoteReference"/>
        </w:rPr>
        <w:footnoteReference w:id="27498"/>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FootnoteReference"/>
        </w:rPr>
        <w:footnoteReference w:id="14387"/>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FootnoteReference"/>
        </w:rPr>
        <w:footnoteReference w:id="29261"/>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FootnoteReference"/>
        </w:rPr>
        <w:footnoteReference w:id="17039"/>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w:t>
      </w:r>
      <w:r>
        <w:rPr>
          <w:i/>
          <w:iCs/>
        </w:rPr>
        <w:t xml:space="preserve">Greek-English Lexicon</w:t>
      </w:r>
      <w:r>
        <w:rPr/>
        <w:t xml:space="preserve">:</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FootnoteReference"/>
        </w:rPr>
        <w:footnoteReference w:id="13990"/>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FootnoteReference"/>
        </w:rPr>
        <w:footnoteReference w:id="32738"/>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FootnoteReference"/>
        </w:rPr>
        <w:footnoteReference w:id="14859"/>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FootnoteReference"/>
        </w:rPr>
        <w:footnoteReference w:id="32364"/>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FootnoteReference"/>
        </w:rPr>
        <w:footnoteReference w:id="23221"/>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FootnoteReference"/>
        </w:rPr>
        <w:footnoteReference w:id="18486"/>
      </w:r>
      <w:r>
        <w:rPr/>
        <w:t xml:space="preserve"> Katherine Bushnell translated the verse: “And she will be saved by the Child-bearing [i.e., the bearing of Jesus Christ],....”</w:t>
      </w:r>
      <w:r>
        <w:rPr>
          <w:rStyle w:val="FootnoteReference"/>
        </w:rPr>
        <w:footnoteReference w:id="19979"/>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FootnoteReference"/>
        </w:rPr>
        <w:footnoteReference w:id="23930"/>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FootnoteReference"/>
        </w:rPr>
        <w:footnoteReference w:id="29712"/>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“childbearing” referring to women’s natural birth of children], it seems difficult to avoid deciding in favor of [the interpretation “‘by the childbearing,’ i.e., by the relation in which woman stood to the Messiah”].</w:t>
      </w:r>
      <w:r>
        <w:rPr>
          <w:rStyle w:val="FootnoteReference"/>
        </w:rPr>
        <w:footnoteReference w:id="13037"/>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FootnoteReference"/>
        </w:rPr>
        <w:footnoteReference w:id="23441"/>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FootnoteReference"/>
        </w:rPr>
        <w:footnoteReference w:id="12750"/>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“mind-affecting”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(occurring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FootnoteReference"/>
        </w:rPr>
        <w:footnoteReference w:id="12397"/>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FootnoteReference"/>
        </w:rPr>
        <w:footnoteReference w:id="31120"/>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FootnoteReference"/>
        </w:rPr>
        <w:footnoteReference w:id="13235"/>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FootnoteReference"/>
        </w:rPr>
        <w:footnoteReference w:id="24674"/>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FootnoteReference"/>
        </w:rPr>
        <w:footnoteReference w:id="28726"/>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Rotherham’s Emphasized Bible), is one of the greatest things God has ever done for humankind. God sent His son to die so that over and above the gift of everlasting life available to all mankind, we in the Church can be part of Christ’s very Body. We Christians have the gift of holy spirit sealed in us, nine manifestations available to us,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which means to have or to hold. Here, as in Philippians 1:7 and John 14:21, it means “to have in one’s heart, to keep in mind” (cf. Thayer’s Greek-English lexicon).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“women </w:t>
      </w:r>
      <w:r>
        <w:rPr>
          <w:b/>
          <w:bCs/>
          <w:i/>
          <w:iCs/>
        </w:rPr>
        <w:t xml:space="preserve">deacons</w:t>
      </w:r>
      <w:r>
        <w:rPr>
          <w:b/>
          <w:bCs/>
        </w:rPr>
        <w:t xml:space="preserve">.”</w:t>
      </w:r>
      <w:r>
        <w:rPr/>
        <w:t xml:space="preserve"> There is great debate as to whether the Greek word </w:t>
      </w:r>
      <w:r>
        <w:rPr>
          <w:i/>
          <w:iCs/>
        </w:rPr>
        <w:t xml:space="preserve">gunē</w:t>
      </w:r>
      <w:r>
        <w:rPr/>
        <w:t xml:space="preserve"> (#1135 γυνή) refers to the wives of deacons or women deacons because the word means either “woman” or “wife.” The answer is not crystal clear by any means, however, there seems to be more evidence that Paul is referring to women deacons.</w:t>
      </w:r>
    </w:p>
    <w:p>
      <w:pPr>
        <w:pStyle w:val="rNormal"/>
        <w:widowControl w:val="on"/>
        <w:spacing w:before="240" w:after="240" w:line="240" w:lineRule="auto"/>
        <w:ind w:left="0" w:right="0"/>
        <w:jc w:val="left"/>
      </w:pPr>
      <w:r>
        <w:rPr/>
        <w:t xml:space="preserve">Let us address the two strongest reasons why one could understand this verse to be referring to the wives of deacons. Firstly, “It would be awkward to discuss deacons in vv 8–10, switch to a different topic in v 11, and then return to deacons in vv 12–13 without a textual clue that the topic has changed….This suggests the topic has not changed.”</w:t>
      </w:r>
      <w:r>
        <w:rPr>
          <w:rStyle w:val="FootnoteReference"/>
        </w:rPr>
        <w:footnoteReference w:id="16837"/>
      </w:r>
      <w:r>
        <w:rPr/>
        <w:t xml:space="preserve"> Mounce is saying that the subject, deacons, would be consistent throughout the entire passage. Paul would be remarking on how deacons should be living (1 Tim. 3:8-10), how their wives should be living (1 Tim. 3:11), and how their families should be living (1 Tim. 3:12), but all of these things ultimately relate to the qualifications of deacons. Whereas in the alternative view, Paul would be changing subjects from the requirements for male deacons to the requirements of female deacons, and then back to the requirements of male deacons. This would be admittedly quite strange.</w:t>
      </w:r>
    </w:p>
    <w:p>
      <w:pPr>
        <w:pStyle w:val="rNormal"/>
        <w:widowControl w:val="on"/>
        <w:spacing w:before="240" w:after="240" w:line="240" w:lineRule="auto"/>
        <w:ind w:left="0" w:right="0"/>
        <w:jc w:val="left"/>
      </w:pPr>
      <w:r>
        <w:rPr/>
        <w:t xml:space="preserve">Secondly, in the very next verse, the same Greek word γυνή (“woman/wife”) is used, and it refers to the deacon’s wife (1 Tim. 3:12) and in verse 2, to the overseer’s wife. This lends credibility to understanding </w:t>
      </w:r>
      <w:r>
        <w:rPr>
          <w:i/>
          <w:iCs/>
        </w:rPr>
        <w:t xml:space="preserve">gunē</w:t>
      </w:r>
      <w:r>
        <w:rPr/>
        <w:t xml:space="preserve"> as “wife,” not “woman.”</w:t>
      </w:r>
    </w:p>
    <w:p>
      <w:pPr>
        <w:pStyle w:val="rNormal"/>
        <w:widowControl w:val="on"/>
        <w:spacing w:before="240" w:after="240" w:line="240" w:lineRule="auto"/>
        <w:ind w:left="0" w:right="0"/>
        <w:jc w:val="left"/>
      </w:pPr>
      <w:r>
        <w:rPr/>
        <w:t xml:space="preserve">Now, let us address the reasons for understanding this verse to be referring to women deacons. Perhaps the strongest piece of evidence that this verse is referring to women deacons is that Paul does not list any requirements for the </w:t>
      </w:r>
      <w:r>
        <w:rPr>
          <w:i/>
          <w:iCs/>
        </w:rPr>
        <w:t xml:space="preserve">gunaikas</w:t>
      </w:r>
      <w:r>
        <w:rPr/>
        <w:t xml:space="preserve"> (women/wives) of overseers (1 Tim. 3:1-7)</w:t>
      </w:r>
      <w:r>
        <w:rPr>
          <w:i/>
          <w:iCs/>
        </w:rPr>
        <w:t xml:space="preserve">.</w:t>
      </w:r>
      <w:r>
        <w:rPr/>
        <w:t xml:space="preserve"> In other words, if Paul meant “wives” here in 1 Timothy 3:1 and listed qualifications that they needed to possess, why do the “wives” of overseers not also need a certain set of qualifications? Overseers are in a more prominent leadership role, so one would expect that their wives would need even more qualifications than the wives of deacons, yet there is not a word said about the wives (or women) of overseers.</w:t>
      </w:r>
    </w:p>
    <w:p>
      <w:pPr>
        <w:pStyle w:val="rNormal"/>
        <w:widowControl w:val="on"/>
        <w:spacing w:before="240" w:after="240" w:line="240" w:lineRule="auto"/>
        <w:ind w:left="0" w:right="0"/>
        <w:jc w:val="left"/>
      </w:pPr>
      <w:r>
        <w:rPr/>
        <w:t xml:space="preserve">The fact that these “women” have very similar standards as the “[male] deacons” strongly suggests that both sets of requirements, 1 Timothy 3:8-10 and 1 Timothy 3:11, are referring to the same role, deacons. In comparing the two, “dignified” occurs in both lists (1 Tim. 3:8, 11), “not double tounged” (1 Tim. 3:8) parallels with “not slanderers” (1 Tim. 3:11), “not indulging in much wine” (1 Tim. 3:8) parallels “clearheaded” (1 Tim. 3:11), and “not eager for dishonorable gain” (1 Tim. 3:8) more loosely parallels “faithful in all things” (1 Tim. 3:11). So, the standards are eerily similar between “deacons” and “women.” Yet, as an illustration, one would not require the same educational standards from the wife of a lawyer as the lawyer himself, but one would require the same educational standards from a woman lawyer as a male lawyer because they are both functioning in the same role. This supports the theory that 1 Timothy 3:11 is referring to women deacons, not just the wives of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 This is seen quite clearly “in Rom. 16:1, Phoebe is called a διάκονος, the masculine form of the word.”</w:t>
      </w:r>
      <w:r>
        <w:rPr>
          <w:rStyle w:val="FootnoteReference"/>
        </w:rPr>
        <w:footnoteReference w:id="16145"/>
      </w:r>
      <w:r>
        <w:rPr/>
        <w:t xml:space="preserve"> Yet, if Paul wanted to communicate about wives, he could have specified “wives of deacons,” rather than just saying “women.” Although to be fair, Paul could also have specified “women who are deacons,” but he did not.</w:t>
      </w:r>
    </w:p>
    <w:p>
      <w:pPr>
        <w:pStyle w:val="rNormal"/>
        <w:widowControl w:val="on"/>
        <w:spacing w:before="240" w:after="240" w:line="240" w:lineRule="auto"/>
        <w:ind w:left="0" w:right="0"/>
        <w:jc w:val="left"/>
      </w:pPr>
      <w:r>
        <w:rPr/>
        <w:t xml:space="preserve">Lastly, Lenski points out that the qualifications for these “women” if it were referring to “wives” would be quite odd because they have nothing to do with caring for the household, however, the absence of “household” qualifications would make more sense if the qualifications were for a role in the church. He argues that these “women deacons” being referred to are single, because Paul would not want the wife to be drawn away from her duties at home.</w:t>
      </w:r>
      <w:r>
        <w:rPr>
          <w:rStyle w:val="FootnoteReference"/>
        </w:rPr>
        <w:footnoteReference w:id="23672"/>
      </w:r>
      <w:r>
        <w:rPr/>
        <w:t xml:space="preserve"> This makes sense of why the qualifications in regard to managing family well are reserved for only male deacons (1 Tim. 3:12), not for these “women/wives” (1 Tim. 3:11). It would be quite contrary to the culture for Paul to mention “caring for one’s household well,” as a qualification for male deacons but not their wives, who would most assuredly be spending more time at home caring for their family. All of these points support interpreting </w:t>
      </w:r>
      <w:r>
        <w:rPr>
          <w:i/>
          <w:iCs/>
        </w:rPr>
        <w:t xml:space="preserve">gunē</w:t>
      </w:r>
      <w:r>
        <w:rPr/>
        <w:t xml:space="preserve"> in 1 Timothy 3:11 as referring to women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w:t>
      </w:r>
    </w:p>
    <w:p>
      <w:pPr>
        <w:pStyle w:val="rNormal"/>
        <w:widowControl w:val="on"/>
        <w:spacing w:before="240" w:after="240" w:line="240" w:lineRule="auto"/>
        <w:ind w:left="0" w:right="0"/>
        <w:jc w:val="left"/>
      </w:pPr>
      <w:r>
        <w:rPr/>
        <w:t xml:space="preserve">This discussion is relevant because how one understands 1 Timothy 3:11 shapes women’s roles in the Church. Some who think that “wives” are being referred to in 1 Timothy 3:11 do not allow women deacons because there is no direct and clear evidence of that anywhere else in scripture besides Romans 16:1 (which they interpret Phoebe as a “servant” not “deacon”), whereas those who understand this verse to be referring to “women </w:t>
      </w:r>
      <w:r>
        <w:rPr>
          <w:i/>
          <w:iCs/>
        </w:rPr>
        <w:t xml:space="preserve">deacons</w:t>
      </w:r>
      <w:r>
        <w:rPr/>
        <w:t xml:space="preserve">” obviously allow women to hold this role in the Church.</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FootnoteReference"/>
        </w:rPr>
        <w:footnoteReference w:id="13702"/>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“some will fall away from the faith.”</w:t>
      </w:r>
      <w:r>
        <w:rPr/>
        <w:t xml:space="preserve"> To “fall away” from the Faith, the Christian Faith, is to abandon the teachings of Christ. The context gives us more detail and says that they will pay attention to deceiving spirits and things taught by demons.</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Christian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and guaranteed to those who believe. But in fact, what we have now is only the promise of salvation. That is why Romans 13:11 says our salvation is nearer now than when we first believed, and why the helmet is called the “hope of salvation” (1 Thess. 5:8). It is why Romans 10:9 says that if you confess and believe (aorist tense, indicating a one-time event, usually in the past), you “will be saved” (future tense). If you have confessed and believed, you “will be saved” when God saves people in the future and we get our new bodies and sickness and death are no more.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FootnoteReference"/>
        </w:rPr>
        <w:footnoteReference w:id="12663"/>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FootnoteReference"/>
        </w:rPr>
        <w:footnoteReference w:id="19537"/>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word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FootnoteReference"/>
        </w:rPr>
        <w:footnoteReference w:id="32353"/>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In this verse, “teaching” is preferable to “doctrine” because it fits better within the list of active practices: public reading and exhortation.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FootnoteReference"/>
        </w:rPr>
        <w:footnoteReference w:id="20821"/>
      </w:r>
      <w:r>
        <w:rPr/>
        <w:t xml:space="preserve"> In this case, it seems clear that the prophecies did not confer the ministry, but were a public recognition that Timothy had the gift of teaching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FootnoteReference"/>
        </w:rPr>
        <w:footnoteReference w:id="25108"/>
      </w:r>
      <w:r>
        <w:rPr/>
        <w:t xml:space="preserve"> In context, it can be translated as “to practice, cultivate.”</w:t>
      </w:r>
      <w:r>
        <w:rPr>
          <w:rStyle w:val="FootnoteReference"/>
        </w:rPr>
        <w:footnoteReference w:id="32566"/>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15586"/>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“manage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and it was common for Greeks and Romans to refer to the gods as </w:t>
      </w:r>
      <w:r>
        <w:rPr>
          <w:i/>
          <w:iCs/>
        </w:rPr>
        <w:t xml:space="preserve">despotēs</w:t>
      </w:r>
      <w:r>
        <w:rPr/>
        <w:t xml:space="preserve"> because they were thought to have great power and use it in their own best interest.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It is noteworthy that the text says the woman is to “rule” the house, using </w:t>
      </w:r>
      <w:r>
        <w:rPr>
          <w:i/>
          <w:iCs/>
        </w:rPr>
        <w:t xml:space="preserve">oikodespoteō</w:t>
      </w:r>
      <w:r>
        <w:rPr/>
        <w:t xml:space="preserve"> (house despot) and not using </w:t>
      </w:r>
      <w:r>
        <w:rPr>
          <w:i/>
          <w:iCs/>
        </w:rPr>
        <w:t xml:space="preserve">kurios</w:t>
      </w:r>
      <w:r>
        <w:rPr/>
        <w:t xml:space="preserve">, “lord” (thus, “be the house lord”). Richard Trench writes: A man, according to the later Greek grammarians, was δεσπότης [“despot, tyrant”) in respect of his slaves...but κύριος [“lord”] in regard of his wife and children; who in speaking either to him or of him, would give him this title of honor; ‘as Sara obeyed Abraham, calling him lord’”</w:t>
      </w:r>
      <w:r>
        <w:rPr>
          <w:rStyle w:val="FootnoteReference"/>
        </w:rPr>
        <w:footnoteReference w:id="31080"/>
      </w:r>
      <w:r>
        <w:rPr/>
        <w:t xml:space="preserve"> (1 Pet. 3:6). R. C. H. Lenski clarifies what Trench wrote, and says, “Oxen are under a yoke and are driven by the will of their owner. That, too, is why Paul does not use κύριος but δεσπότης to designate their master. ...‘lord’ is one who exercises dominion, ‘δεσπότης’ (from which our ‘despot’ is derived) is one who exercises domination.”</w:t>
      </w:r>
      <w:r>
        <w:rPr>
          <w:rStyle w:val="FootnoteReference"/>
        </w:rPr>
        <w:footnoteReference w:id="14543"/>
      </w:r>
    </w:p>
    <w:p>
      <w:pPr>
        <w:pStyle w:val="rNormal"/>
        <w:widowControl w:val="on"/>
        <w:spacing w:before="240" w:after="240" w:line="240" w:lineRule="auto"/>
        <w:ind w:left="0" w:right="0"/>
        <w:jc w:val="left"/>
      </w:pPr>
      <w:r>
        <w:rPr/>
        <w:t xml:space="preserve">In most ancient societies, men were outside the house working during the day, while women were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FootnoteReference"/>
        </w:rPr>
        <w:footnoteReference w:id="20403"/>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FootnoteReference"/>
        </w:rPr>
        <w:footnoteReference w:id="12193"/>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not to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Greek word </w:t>
      </w:r>
      <w:r>
        <w:rPr>
          <w:i/>
          <w:iCs/>
        </w:rPr>
        <w:t xml:space="preserve">doulos</w:t>
      </w:r>
      <w:r>
        <w:rPr/>
        <w:t xml:space="preserve">, which can refer to a slave or a servant. Also, he obviates the undesirable position of being a slave and encourages people to be godly in spite of their ungodly position in life. Literally, oxen are “under the yoke” and are driven whenever and wherever the owner wants, and that was also the undesirable position of a Roman slave. Paul makes no explanation or excuses for why some people are born into high society while others are born into slavery or are enslaved for other reasons. He simply instructs people to make the best of their situation so they are rewarded in the future.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 Wives are to be the “house despots” (see commentary on 1 Tim. 5:14)</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“sound words.”</w:t>
      </w:r>
      <w:r>
        <w:rPr/>
        <w:t xml:space="preserve"> The Greek word is </w:t>
      </w:r>
      <w:r>
        <w:rPr>
          <w:i/>
          <w:iCs/>
        </w:rPr>
        <w:t xml:space="preserve">hugiainō</w:t>
      </w:r>
      <w:r>
        <w:rPr/>
        <w:t xml:space="preserve"> (#5198) and it means “healthy” or “sound” (“correct, free from error”). In this context </w:t>
      </w:r>
      <w:r>
        <w:rPr>
          <w:i/>
          <w:iCs/>
        </w:rPr>
        <w:t xml:space="preserve">hugiainō</w:t>
      </w:r>
      <w:r>
        <w:rPr/>
        <w:t xml:space="preserve"> refers to words that are correct and free from error, but because of that they are “healthy” words, they produce health and healing to those who hear them and heed them. The Bible is full of “healthy words,” which is why regularly reading a good translation of the Bible leads to healthy thinking and then to a healthy life.</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commentary on Titus 1:1). An alternate translation might be, “and with godly doctrine,” meaning that the false and different doctrine does not agree with godly doctrine. Some versions of the Bible are translated that way. Note that “godliness” is not subjective; that is, we do not get to decide what is godly behavior. God created the heavens and earth, and humans, and He decides what godliness is. We conform to His standards, we are not able to make our standards be genuine godliness. We would just be fooling ourselves and suffer for it on the Day of Judgment.</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“knowing nothing.”</w:t>
      </w:r>
      <w:r>
        <w:rPr/>
        <w:t xml:space="preserve"> In this context, “knowing nothing” actually means “understanding nothing.” A person can know a lot of facts, but unless they are connected into a big picture and applied in life, it seems the person “knows nothing.” Also, the Word of God teaches us that “The fear of Yahweh is the beginning of knowledge,” (Prov. 1:7), and if a person does not use his respect for, and even fear of, God as the beginning point of his knowledge, then he can end up with lots of worldly knowledge but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“evil suspicions.”</w:t>
      </w:r>
      <w:r>
        <w:rPr/>
        <w:t xml:space="preserve"> When a person’s doctrine is wrong, then they look with “evil suspicions” upon others. A person who cannot look on others with a sound mind and godly thoughts because he does not have a sound mind, ends up looking on others with evil suspicions. We are familiar with this among unbelievers. The Roman unbelievers looked upon the Christians with evil suspicions because they thought the Christians were bringing the wrath of the gods upon Rome due to their refusing to worship those gods. But misinformed Christians do the same thing, and look with evil suspicion upon other Christians who do not worship, or dress, or pray, or believe like they do.</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Greek word translated as “robbed” is </w:t>
      </w:r>
      <w:r>
        <w:rPr>
          <w:i/>
          <w:iCs/>
        </w:rPr>
        <w:t xml:space="preserve">apostereō</w:t>
      </w:r>
      <w:r>
        <w:rPr/>
        <w:t xml:space="preserve"> (#650 ἀποστερέω), and it means to rob, defraud, or deprive.</w:t>
      </w:r>
    </w:p>
    <w:p>
      <w:pPr>
        <w:pStyle w:val="rNormal"/>
        <w:widowControl w:val="on"/>
        <w:spacing w:before="240" w:after="240" w:line="240" w:lineRule="auto"/>
        <w:ind w:left="0" w:right="0"/>
        <w:jc w:val="left"/>
      </w:pPr>
      <w:r>
        <w:rPr/>
        <w:t xml:space="preserve">The truth was available to these corrupt people, but they let “the Thief” rob them of it by lies and deceit, usually because truth and obeying God were not a high priority for them, whereas wealth and influence were more attractive. The people were “robbed, defrauded,” but they let themselves be due to ungodly desires. Often, people want so badly to be recognized or be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saw that acting like a “godly” leader in the Church 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6:7</w:t>
      </w:r>
    </w:p>
    <w:p>
      <w:pPr>
        <w:pStyle w:val="rNormal"/>
        <w:widowControl w:val="on"/>
        <w:spacing w:before="240" w:after="240" w:line="240" w:lineRule="auto"/>
        <w:ind w:left="0" w:right="0" w:firstLine="1"/>
        <w:jc w:val="left"/>
      </w:pPr>
      <w:r>
        <w:rPr>
          <w:b/>
          <w:bCs/>
        </w:rPr>
        <w:t xml:space="preserve">“and we are not able to carry anything out of it.”</w:t>
      </w:r>
      <w:r>
        <w:rPr/>
        <w:t xml:space="preserve"> The common vernacular saying is, “You can’t take it with you.” If no one can take anything with them when they die, which is the case, then how do we get anything in the next life? The answer is that IF we have earned any reward, we will be repaid by God and the Lord Jesus when we get to the next life. There are many verses that speak of a person getting what they deserve at the Judgment, be it good or bad (2 Cor. 5:10; e.g., Job 34:11, Ps. 62:12; Prov. 24:12; Jer. 32:19; Ezek. 33:20, Matt. 10:41-42; 16:27, Rom. 2:6; 1 Cor. 3:10-15; Col. 3:23-25; 1 Thess. 4:6; 1 Tim. 6:19; Heb. 11:24-26; 1 John 2:28; 2 John 1:8). The Fool works to build wealth in this life; the Wise Person works to build rewards in the next life.</w:t>
      </w:r>
    </w:p>
    <w:p>
      <w:pPr>
        <w:pStyle w:val="rNormal"/>
        <w:widowControl w:val="on"/>
        <w:spacing w:before="240" w:after="240" w:line="240" w:lineRule="auto"/>
        <w:ind w:left="0" w:right="0"/>
        <w:jc w:val="left"/>
      </w:pPr>
      <w:r>
        <w:rPr/>
        <w:t xml:space="preserve">Everyone should want lots of rewards when Christ returns, so wisdom dictates that we live today in such a way that we receive those rewards in the next life.</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word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“destruction.”</w:t>
      </w:r>
      <w:r>
        <w:rPr/>
        <w:t xml:space="preserve"> The English word “destruction” is the translation of the Greek word </w:t>
      </w:r>
      <w:r>
        <w:rPr>
          <w:i/>
          <w:iCs/>
        </w:rPr>
        <w:t xml:space="preserve">apōleia</w:t>
      </w:r>
      <w:r>
        <w:rPr/>
        <w:t xml:space="preserve"> (#684 ἀπώλεια), which is a very strong and usually irrevocable destruction. Both </w:t>
      </w:r>
      <w:r>
        <w:rPr>
          <w:i/>
          <w:iCs/>
        </w:rPr>
        <w:t xml:space="preserve">olethros</w:t>
      </w:r>
      <w:r>
        <w:rPr/>
        <w:t xml:space="preserve"> and </w:t>
      </w:r>
      <w:r>
        <w:rPr>
          <w:i/>
          <w:iCs/>
        </w:rPr>
        <w:t xml:space="preserve">apōleia</w:t>
      </w:r>
      <w:r>
        <w:rPr/>
        <w:t xml:space="preserve"> refer to destruction, with </w:t>
      </w:r>
      <w:r>
        <w:rPr>
          <w:i/>
          <w:iCs/>
        </w:rPr>
        <w:t xml:space="preserve">apōleia</w:t>
      </w:r>
      <w:r>
        <w:rPr/>
        <w:t xml:space="preserve"> being the stronger word, so 1 Timothy 6:9 is a strong warning for Christians not to get ensnared in “get rich” schemes that usually involve some form of immorality and ungodliness.</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6:11</w:t>
      </w:r>
    </w:p>
    <w:p>
      <w:pPr>
        <w:pStyle w:val="rNormal"/>
        <w:widowControl w:val="on"/>
        <w:spacing w:before="240" w:after="240" w:line="240" w:lineRule="auto"/>
        <w:ind w:left="0" w:right="0" w:firstLine="1"/>
        <w:jc w:val="left"/>
      </w:pPr>
      <w:r>
        <w:rPr>
          <w:b/>
          <w:bCs/>
        </w:rPr>
        <w:t xml:space="preserve">“But you, O man of God.”</w:t>
      </w:r>
      <w:r>
        <w:rPr/>
        <w:t xml:space="preserve"> Paul wrote the epistle of 1 Timothy to Timothy, but the lessons in it apply to all Christians. All Christians are to pursue righteousness, godliness, trust, love, endurance, </w:t>
      </w:r>
      <w:r>
        <w:rPr>
          <w:i/>
          <w:iCs/>
        </w:rPr>
        <w:t xml:space="preserve">and</w:t>
      </w:r>
      <w:r>
        <w:rPr/>
        <w:t xml:space="preserve"> meekness.</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“fight.”</w:t>
      </w:r>
      <w:r>
        <w:rPr/>
        <w:t xml:space="preserve"> The Greek verb translated as “fight” is </w:t>
      </w:r>
      <w:r>
        <w:rPr>
          <w:i/>
          <w:iCs/>
        </w:rPr>
        <w:t xml:space="preserve">agōnizomai</w:t>
      </w:r>
      <w:r>
        <w:rPr/>
        <w:t xml:space="preserve"> (#75 ἀγωνίζομαι), and it is also used of the “contest” in the sporting games like wrestling, running, javelin throwing, etc. That explains why some English versions do not have “fight,” but have “contend” or some similar word (e.g., CEB, Darby, LSV, NAB, NET, REB).</w:t>
      </w:r>
    </w:p>
    <w:p>
      <w:pPr>
        <w:pStyle w:val="rNormal"/>
        <w:widowControl w:val="on"/>
        <w:spacing w:before="240" w:after="240" w:line="240" w:lineRule="auto"/>
        <w:ind w:left="0" w:right="0"/>
        <w:jc w:val="left"/>
      </w:pPr>
      <w:r>
        <w:rPr/>
        <w:t xml:space="preserve">The Greek word </w:t>
      </w:r>
      <w:r>
        <w:rPr>
          <w:i/>
          <w:iCs/>
        </w:rPr>
        <w:t xml:space="preserve">agōnizomai</w:t>
      </w:r>
      <w:r>
        <w:rPr/>
        <w:t xml:space="preserve"> is a verb and, as most Americans learn in grade school, a verb implies action. The Christian does not fight the good fight by being alone and contemplating God throughout their life. We fight by getting out in the world and confronting evil and spreading the Good News about Jesus Christ. In this case, as Lenski says, the verb is a “durative present,”</w:t>
      </w:r>
      <w:r>
        <w:rPr>
          <w:rStyle w:val="FootnoteReference"/>
        </w:rPr>
        <w:footnoteReference w:id="19601"/>
      </w:r>
      <w:r>
        <w:rPr/>
        <w:t xml:space="preserve"> meaning something like “fight and continue to fight.” The fight for the Christian Faith and the fight between good and evil never goes away, so the Christian must prepare for that and not tire in the battle.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“confessed the good confession in the sight of many witnesses.”</w:t>
      </w:r>
      <w:r>
        <w:rPr/>
        <w:t xml:space="preserve"> When Jesus confessed before Pilate (1 Tim. 6:13), he told Pilate who he was. Similarly, the “good confession” of Timothy was likely nothing more than the confession he made before witnesses when he confessed Christ as Lord. The event is not recorded in the Bible or history, but it was a common thing for people to openly confess Christ as lord, so Paul simply states it as a matter of fact, not anything that needs documentation.</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“I charge you.”</w:t>
      </w:r>
      <w:r>
        <w:rPr/>
        <w:t xml:space="preserve"> The words themselves and the fact that the Greek verb is imperative show the seriousness of this charge. Paul charges Timothy to keep the commandments and live above reproach, which at that time in that culture, Timothy could only do at the risk of his life. Jesus led the way, now Paul charges Timothy “in the presence of God...and Jesus Christ” to follow Christ and fight the good fight of faith.</w:t>
      </w:r>
    </w:p>
    <w:p>
      <w:pPr>
        <w:pStyle w:val="rNormal"/>
        <w:widowControl w:val="on"/>
        <w:spacing w:before="240" w:after="240" w:line="240" w:lineRule="auto"/>
        <w:ind w:left="0" w:right="0" w:firstLine="1"/>
        <w:jc w:val="left"/>
      </w:pPr>
      <w:r>
        <w:rPr>
          <w:b/>
          <w:bCs/>
        </w:rPr>
        <w:t xml:space="preserve">“God, who gives life to all things.”</w:t>
      </w:r>
      <w:r>
        <w:rPr/>
        <w:t xml:space="preserve"> This is not just a nice reminder of the Genesis record of God creating the world. Timothy (and Paul) are both facing the very good possibility of death. In that circumstance, it is good to be reminded that God “gives life to all things,” including the dead, and that which is sown in weakness is raised in power, and that which is corruptible when it is sown is incorruptible when it is raised (1 Cor. 15:42-43). Believers need not fear death; Jesus conquered death. Like the song says, “Up from the grave he arose, with a mighty triumph over his foes.”</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Jesus spoke the truth to Pilate. Jesus knew he would be crucified, but there was always a possibility that Pilate might believe the truth and Jesus would have been crucified by someone else—everyone can make the freewill choice to do what is right.</w:t>
      </w:r>
    </w:p>
    <w:p>
      <w:pPr>
        <w:pStyle w:val="rNormal"/>
        <w:widowControl w:val="on"/>
        <w:spacing w:before="240" w:after="240" w:line="240" w:lineRule="auto"/>
        <w:ind w:left="0" w:right="0"/>
        <w:jc w:val="left"/>
      </w:pPr>
      <w:r>
        <w:rPr/>
        <w:t xml:space="preserve">Jesus’ “good confession” was that Jesus told Pilate who he was—that he was the King of the Jews (Matt. 27:11; Mark 15:2; Luke 23:3; John 18:33-37; 19:11). Robert Yarborough writes, “Before Pilot, Jesus stated clearly who he was (Luke 23:3), at great peril to his life, humanly speaking. Now at Ephesus, Timothy has the opportunity to state clearly who he takes Jesus to be, whatever threats and loss he might face in doing so. Paul ‘draws a parallel between Jesus appearing before a hostile ruler and Timothy (and Paul) bearing witness before hostile people inside and outside the church.’”</w:t>
      </w:r>
      <w:r>
        <w:rPr>
          <w:rStyle w:val="FootnoteReference"/>
        </w:rPr>
        <w:footnoteReference w:id="20223"/>
      </w:r>
      <w:r>
        <w:rPr/>
        <w:t xml:space="preserve"> Paul did make a good confession and was martyred, and it is more than likely that Timothy was too. The official persecution of Christians started by Emperor Nero in 64 A.D., lasted over 250 years.</w:t>
      </w:r>
    </w:p>
    <w:p>
      <w:pPr>
        <w:pStyle w:val="rVersHead"/>
        <w:widowControl w:val="on"/>
      </w:pPr>
      <w:r>
        <w:rPr/>
        <w:t xml:space="preserve">1Tm 6:14</w:t>
      </w:r>
    </w:p>
    <w:p>
      <w:pPr>
        <w:pStyle w:val="rNormal"/>
        <w:widowControl w:val="on"/>
        <w:spacing w:before="240" w:after="240" w:line="240" w:lineRule="auto"/>
        <w:ind w:left="0" w:right="0" w:firstLine="1"/>
        <w:jc w:val="left"/>
      </w:pPr>
      <w:r>
        <w:rPr>
          <w:b/>
          <w:bCs/>
        </w:rPr>
        <w:t xml:space="preserve">“until the appearing of our Lord Jesus Christ.”</w:t>
      </w:r>
      <w:r>
        <w:rPr/>
        <w:t xml:space="preserve"> We do our best for God until we die or the Lord returns and Christians are in the Rapture (1 Thess. 4:13-18).</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Normal"/>
        <w:widowControl w:val="on"/>
        <w:spacing w:before="240" w:after="240" w:line="240" w:lineRule="auto"/>
        <w:ind w:left="0" w:right="0" w:firstLine="1"/>
        <w:jc w:val="left"/>
      </w:pPr>
      <w:r>
        <w:rPr>
          <w:b/>
          <w:bCs/>
        </w:rPr>
        <w:t xml:space="preserve">“who lives in unapproachable light.”</w:t>
      </w:r>
      <w:r>
        <w:rPr/>
        <w:t xml:space="preserve"> God is so glorious that as He appears to humans, He is almost always surrounded by a cloud of brilliant light, which is referred to as the “glory” of God (or, “the glory of Yahweh”).</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people getting what they deserve—good or bad—on the Day of Judgment (e.g., Job 34:11, Ps. 62:12; Prov. 24:12; Jer. 32:19; Ezek. 33:20, Matt. 10:41-42; 16:27, Rom. 2:6; 1 Cor. 3:10-15; 2 Cor. 5:10; Col. 3:23-25; 1 Thess. 4:6; 1 Tim. 6:19; Heb. 11:24-26; 1 John 2:28; 2 John 1:8).</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6:20</w:t>
      </w:r>
    </w:p>
    <w:p>
      <w:pPr>
        <w:pStyle w:val="rNormal"/>
        <w:widowControl w:val="on"/>
        <w:spacing w:before="240" w:after="240" w:line="240" w:lineRule="auto"/>
        <w:ind w:left="0" w:right="0" w:firstLine="1"/>
        <w:jc w:val="left"/>
      </w:pPr>
      <w:r>
        <w:rPr>
          <w:b/>
          <w:bCs/>
        </w:rPr>
        <w:t xml:space="preserve">“guard that which is entrusted </w:t>
      </w:r>
      <w:r>
        <w:rPr>
          <w:b/>
          <w:bCs/>
          <w:i/>
          <w:iCs/>
        </w:rPr>
        <w:t xml:space="preserve">to you</w:t>
      </w:r>
      <w:r>
        <w:rPr>
          <w:b/>
          <w:bCs/>
        </w:rPr>
        <w:t xml:space="preserve">.”</w:t>
      </w:r>
      <w:r>
        <w:rPr/>
        <w:t xml:space="preserve"> This guarding occurs in the mind. It is like Proverbs 4:23 says, “More than anything else you protect, guard your heart, because from it </w:t>
      </w:r>
      <w:r>
        <w:rPr>
          <w:i/>
          <w:iCs/>
        </w:rPr>
        <w:t xml:space="preserve">flow</w:t>
      </w:r>
      <w:r>
        <w:rPr/>
        <w:t xml:space="preserve"> the issues of life.”</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24436862ad74b5d9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534462"/>
      <w:docPartObj>
        <w:docPartGallery w:val="Page Numbers (Bottom of Page)"/>
        <w:docPartUnique/>
      </w:docPartObj>
    </w:sdtPr>
    <w:sdtContent>
      <w:sdt>
        <w:sdtPr>
          <w:id w:val="6095947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922">
    <w:p>
      <w:pPr>
        <w:pStyle w:val="FootnoteText"/>
      </w:pPr>
      <w:r>
        <w:rPr>
          <w:rStyle w:val="FootnoteReference"/>
        </w:rPr>
        <w:footnoteRef/>
      </w:r>
      <w:r>
        <w:t xml:space="preserve">
          <w:r>
            <w:t xml:space="preserve">
              <w:r>
                <w:t xml:space="preserve"> Ann Nyland, The Source New Testament, 406n2 and note on Rom. 16:26, 306n17.</w:t>
              </w:r>
            </w:t>
          </w:r>
        </w:t>
      </w:r>
    </w:p>
  </w:footnote>
  <w:footnote w:id="10402">
    <w:p>
      <w:pPr>
        <w:pStyle w:val="FootnoteText"/>
      </w:pPr>
      <w:r>
        <w:rPr>
          <w:rStyle w:val="FootnoteReference"/>
        </w:rPr>
        <w:footnoteRef/>
      </w:r>
      <w:r>
        <w:t xml:space="preserve">
          <w:r>
            <w:t xml:space="preserve">
              <w:r>
                <w:t xml:space="preserve"> William Mounce, </w:t>
              </w:r>
              <w:r>
                <w:rPr>
                  <w:i/>
                </w:rPr>
                <w:t xml:space="preserve">Pastoral Epistles</w:t>
              </w:r>
              <w:r>
                <w:t xml:space="preserve"> [WBC], note on 1 Tim. 1:1.</w:t>
              </w:r>
            </w:t>
          </w:r>
        </w:t>
      </w:r>
    </w:p>
  </w:footnote>
  <w:footnote w:id="24282">
    <w:p>
      <w:pPr>
        <w:pStyle w:val="FootnoteText"/>
      </w:pPr>
      <w:r>
        <w:rPr>
          <w:rStyle w:val="FootnoteReference"/>
        </w:rPr>
        <w:footnoteRef/>
      </w:r>
      <w:r>
        <w:t xml:space="preserve">
          <w:r>
            <w:t xml:space="preserve">
              <w:r>
                <w:t xml:space="preserve"> Hendriksen, </w:t>
              </w:r>
              <w:r>
                <w:rPr>
                  <w:i/>
                </w:rPr>
                <w:t xml:space="preserve">New Testament Commentary: Thessalonians, the Pastoral Epistles, and Hebrews</w:t>
              </w:r>
              <w:r>
                <w:t xml:space="preserve">, 53.</w:t>
              </w:r>
            </w:t>
          </w:r>
        </w:t>
      </w:r>
    </w:p>
  </w:footnote>
  <w:footnote w:id="27693">
    <w:p>
      <w:pPr>
        <w:pStyle w:val="FootnoteText"/>
      </w:pPr>
      <w:r>
        <w:rPr>
          <w:rStyle w:val="FootnoteReference"/>
        </w:rPr>
        <w:footnoteRef/>
      </w:r>
      <w:r>
        <w:t xml:space="preserve">
          <w:r>
            <w:t xml:space="preserve">
              <w:r>
                <w:t xml:space="preserve"> Cf.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t>
          </w:r>
        </w:t>
      </w:r>
    </w:p>
  </w:footnote>
  <w:footnote w:id="14658">
    <w:p>
      <w:pPr>
        <w:pStyle w:val="FootnoteText"/>
      </w:pPr>
      <w:r>
        <w:rPr>
          <w:rStyle w:val="FootnoteReference"/>
        </w:rPr>
        <w:footnoteRef/>
      </w:r>
      <w:r>
        <w:t xml:space="preserve">
          <w:r>
            <w:t xml:space="preserve">
              <w:r>
                <w:t xml:space="preserve"> Cf. Robertson, </w:t>
              </w:r>
              <w:r>
                <w:rPr>
                  <w:i/>
                </w:rPr>
                <w:t xml:space="preserve">Grammar</w:t>
              </w:r>
              <w:r>
                <w:t xml:space="preserve">, 776; and the explanation by Lenski.</w:t>
              </w:r>
            </w:t>
          </w:r>
        </w:t>
      </w:r>
    </w:p>
  </w:footnote>
  <w:footnote w:id="18708">
    <w:p>
      <w:pPr>
        <w:pStyle w:val="FootnoteText"/>
      </w:pPr>
      <w:r>
        <w:rPr>
          <w:rStyle w:val="FootnoteReference"/>
        </w:rPr>
        <w:footnoteRef/>
      </w:r>
      <w:r>
        <w:t xml:space="preserve">
          <w:r>
            <w:t xml:space="preserve">
              <w:r>
                <w:t xml:space="preserve"> Friberg, </w:t>
              </w:r>
              <w:r>
                <w:rPr>
                  <w:i/>
                </w:rPr>
                <w:t xml:space="preserve">Analytical Lexicon</w:t>
              </w:r>
              <w:r>
                <w:t xml:space="preserve">, s.v. “ὑβριστής.”</w:t>
              </w:r>
            </w:t>
          </w:r>
        </w:t>
      </w:r>
    </w:p>
  </w:footnote>
  <w:footnote w:id="29233">
    <w:p>
      <w:pPr>
        <w:pStyle w:val="FootnoteText"/>
      </w:pPr>
      <w:r>
        <w:rPr>
          <w:rStyle w:val="FootnoteReference"/>
        </w:rPr>
        <w:footnoteRef/>
      </w:r>
      <w:r>
        <w:t xml:space="preserve">
          <w:r>
            <w:t xml:space="preserve">
              <w:r>
                <w:t xml:space="preserve"> Thayer.</w:t>
              </w:r>
            </w:t>
          </w:r>
        </w:t>
      </w:r>
    </w:p>
  </w:footnote>
  <w:footnote w:id="19777">
    <w:p>
      <w:pPr>
        <w:pStyle w:val="FootnoteText"/>
      </w:pPr>
      <w:r>
        <w:rPr>
          <w:rStyle w:val="FootnoteReference"/>
        </w:rPr>
        <w:footnoteRef/>
      </w:r>
      <w:r>
        <w:t xml:space="preserve">
          <w:r>
            <w:t xml:space="preserve">
              <w:r>
                <w:t xml:space="preserve"> BDAG.</w:t>
              </w:r>
            </w:t>
          </w:r>
        </w:t>
      </w:r>
    </w:p>
  </w:footnote>
  <w:footnote w:id="25821">
    <w:p>
      <w:pPr>
        <w:pStyle w:val="FootnoteText"/>
      </w:pPr>
      <w:r>
        <w:rPr>
          <w:rStyle w:val="FootnoteReference"/>
        </w:rPr>
        <w:footnoteRef/>
      </w:r>
      <w:r>
        <w:t xml:space="preserve">
          <w:r>
            <w:t xml:space="preserve">
              <w:r>
                <w:t xml:space="preserve"> W. Mounce, </w:t>
              </w:r>
              <w:r>
                <w:rPr>
                  <w:i/>
                </w:rPr>
                <w:t xml:space="preserve">The Pastoral Epistles</w:t>
              </w:r>
              <w:r>
                <w:t xml:space="preserve"> [WBC].</w:t>
              </w:r>
            </w:t>
          </w:r>
        </w:t>
      </w:r>
    </w:p>
  </w:footnote>
  <w:footnote w:id="31914">
    <w:p>
      <w:pPr>
        <w:pStyle w:val="FootnoteText"/>
      </w:pPr>
      <w:r>
        <w:rPr>
          <w:rStyle w:val="FootnoteReference"/>
        </w:rPr>
        <w:footnoteRef/>
      </w:r>
      <w:r>
        <w:t xml:space="preserve">
          <w:r>
            <w:t xml:space="preserve">
              <w:r>
                <w:t xml:space="preserve"> A. Kostenberger, </w:t>
              </w:r>
              <w:r>
                <w:rPr>
                  <w:i/>
                </w:rPr>
                <w:t xml:space="preserve">1-2 Timothy and Titus</w:t>
              </w:r>
              <w:r>
                <w:t xml:space="preserve">. Evangelical Biblical Theology Commentary.</w:t>
              </w:r>
            </w:t>
          </w:r>
        </w:t>
      </w:r>
    </w:p>
  </w:footnote>
  <w:footnote w:id="28674">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t>
          </w:r>
        </w:t>
      </w:r>
    </w:p>
  </w:footnote>
  <w:footnote w:id="11785">
    <w:p>
      <w:pPr>
        <w:pStyle w:val="FootnoteText"/>
      </w:pPr>
      <w:r>
        <w:rPr>
          <w:rStyle w:val="FootnoteReference"/>
        </w:rPr>
        <w:footnoteRef/>
      </w:r>
      <w:r>
        <w:t xml:space="preserve">
          <w:r>
            <w:t xml:space="preserve">
              <w:r>
                <w:t xml:space="preserve"> W. Mounce, </w:t>
              </w:r>
              <w:r>
                <w:rPr>
                  <w:i/>
                </w:rPr>
                <w:t xml:space="preserve">Pastoral Epistles</w:t>
              </w:r>
              <w:r>
                <w:t xml:space="preserve"> [WBC].</w:t>
              </w:r>
            </w:t>
          </w:r>
        </w:t>
      </w:r>
    </w:p>
  </w:footnote>
  <w:footnote w:id="16309">
    <w:p>
      <w:pPr>
        <w:pStyle w:val="FootnoteText"/>
      </w:pPr>
      <w:r>
        <w:rPr>
          <w:rStyle w:val="FootnoteReference"/>
        </w:rPr>
        <w:footnoteRef/>
      </w:r>
      <w:r>
        <w:t xml:space="preserve">
          <w:r>
            <w:t xml:space="preserve">
              <w:r>
                <w:t xml:space="preserve"> Cf. BDAG, s.v. “ὅσιος.”</w:t>
              </w:r>
            </w:t>
          </w:r>
        </w:t>
      </w:r>
    </w:p>
  </w:footnote>
  <w:footnote w:id="27498">
    <w:p>
      <w:pPr>
        <w:pStyle w:val="FootnoteText"/>
      </w:pPr>
      <w:r>
        <w:rPr>
          <w:rStyle w:val="FootnoteReference"/>
        </w:rPr>
        <w:footnoteRef/>
      </w:r>
      <w:r>
        <w:t xml:space="preserve">
          <w:r>
            <w:t xml:space="preserve">
              <w:r>
                <w:t xml:space="preserve"> J. H. Bernard, </w:t>
              </w:r>
              <w:r>
                <w:rPr>
                  <w:i/>
                </w:rPr>
                <w:t xml:space="preserve">The Pastoral Epistles</w:t>
              </w:r>
              <w:r>
                <w:t xml:space="preserve">, Cambridge Greek Testament for Schools and Colleges.</w:t>
              </w:r>
            </w:t>
          </w:r>
        </w:t>
      </w:r>
    </w:p>
  </w:footnote>
  <w:footnote w:id="14387">
    <w:p>
      <w:pPr>
        <w:pStyle w:val="FootnoteText"/>
      </w:pPr>
      <w:r>
        <w:rPr>
          <w:rStyle w:val="FootnoteReference"/>
        </w:rPr>
        <w:footnoteRef/>
      </w:r>
      <w:r>
        <w:t xml:space="preserve">
          <w:r>
            <w:t xml:space="preserve">
              <w:r>
                <w:t xml:space="preserve"> BDAG, s.v. “σωφροσύνη.”</w:t>
              </w:r>
            </w:t>
          </w:r>
        </w:t>
      </w:r>
    </w:p>
  </w:footnote>
  <w:footnote w:id="29261">
    <w:p>
      <w:pPr>
        <w:pStyle w:val="FootnoteText"/>
      </w:pPr>
      <w:r>
        <w:rPr>
          <w:rStyle w:val="FootnoteReference"/>
        </w:rPr>
        <w:footnoteRef/>
      </w:r>
      <w:r>
        <w:t xml:space="preserve">
          <w:r>
            <w:t xml:space="preserve">
              <w:r>
                <w:t xml:space="preserve"> Bernard, </w:t>
              </w:r>
              <w:r>
                <w:rPr>
                  <w:i/>
                </w:rPr>
                <w:t xml:space="preserve">The Pastoral Epistles</w:t>
              </w:r>
              <w:r>
                <w:t xml:space="preserve"> [CGTSC].</w:t>
              </w:r>
            </w:t>
          </w:r>
        </w:t>
      </w:r>
    </w:p>
  </w:footnote>
  <w:footnote w:id="17039">
    <w:p>
      <w:pPr>
        <w:pStyle w:val="FootnoteText"/>
      </w:pPr>
      <w:r>
        <w:rPr>
          <w:rStyle w:val="FootnoteReference"/>
        </w:rPr>
        <w:footnoteRef/>
      </w:r>
      <w:r>
        <w:t xml:space="preserve">
          <w:r>
            <w:t xml:space="preserve">
              <w:r>
                <w:t xml:space="preserve"> Ann Nyland, </w:t>
              </w:r>
              <w:r>
                <w:rPr>
                  <w:i/>
                </w:rPr>
                <w:t xml:space="preserve">The Source New Testament</w:t>
              </w:r>
              <w:r>
                <w:t xml:space="preserve">, 410; cf. Richard &amp;amp; Catherine Clark Kroeger, </w:t>
              </w:r>
              <w:r>
                <w:rPr>
                  <w:i/>
                </w:rPr>
                <w:t xml:space="preserve">I Suffer Not A Woman</w:t>
              </w:r>
              <w:r>
                <w:t xml:space="preserve">, 68, 103-04.</w:t>
              </w:r>
            </w:t>
          </w:r>
        </w:t>
      </w:r>
    </w:p>
  </w:footnote>
  <w:footnote w:id="13990">
    <w:p>
      <w:pPr>
        <w:pStyle w:val="FootnoteText"/>
      </w:pPr>
      <w:r>
        <w:rPr>
          <w:rStyle w:val="FootnoteReference"/>
        </w:rPr>
        <w:footnoteRef/>
      </w:r>
      <w:r>
        <w:t xml:space="preserve">
          <w:r>
            <w:t xml:space="preserve">
              <w:r>
                <w:t xml:space="preserve"> W. Mounce, </w:t>
              </w:r>
              <w:r>
                <w:rPr>
                  <w:i/>
                </w:rPr>
                <w:t xml:space="preserve">Pastoral Epistles</w:t>
              </w:r>
              <w:r>
                <w:t xml:space="preserve"> [WBC], 117.</w:t>
              </w:r>
            </w:t>
          </w:r>
        </w:t>
      </w:r>
    </w:p>
  </w:footnote>
  <w:footnote w:id="32738">
    <w:p>
      <w:pPr>
        <w:pStyle w:val="FootnoteText"/>
      </w:pPr>
      <w:r>
        <w:rPr>
          <w:rStyle w:val="FootnoteReference"/>
        </w:rPr>
        <w:footnoteRef/>
      </w:r>
      <w:r>
        <w:t xml:space="preserve">
          <w:r>
            <w:t xml:space="preserve">
              <w:r>
                <w:t xml:space="preserve"> Richard and Catherine Clark Kroeger, </w:t>
              </w:r>
              <w:r>
                <w:rPr>
                  <w:i/>
                </w:rPr>
                <w:t xml:space="preserve">I Suffer Not a Woman</w:t>
              </w:r>
              <w:r>
                <w:t xml:space="preserve">, 103, 191-92.</w:t>
              </w:r>
            </w:t>
          </w:r>
        </w:t>
      </w:r>
    </w:p>
  </w:footnote>
  <w:footnote w:id="14859">
    <w:p>
      <w:pPr>
        <w:pStyle w:val="FootnoteText"/>
      </w:pPr>
      <w:r>
        <w:rPr>
          <w:rStyle w:val="FootnoteReference"/>
        </w:rPr>
        <w:footnoteRef/>
      </w:r>
      <w:r>
        <w:t xml:space="preserve">
          <w:r>
            <w:t xml:space="preserve">
              <w:r>
                <w:t xml:space="preserve"> Clark Kroeger, </w:t>
              </w:r>
              <w:r>
                <w:rPr>
                  <w:i/>
                </w:rPr>
                <w:t xml:space="preserve">I Suffer Not a Woman</w:t>
              </w:r>
              <w:r>
                <w:t xml:space="preserve">, 103, 192.</w:t>
              </w:r>
            </w:t>
          </w:r>
        </w:t>
      </w:r>
    </w:p>
  </w:footnote>
  <w:footnote w:id="32364">
    <w:p>
      <w:pPr>
        <w:pStyle w:val="FootnoteText"/>
      </w:pPr>
      <w:r>
        <w:rPr>
          <w:rStyle w:val="FootnoteReference"/>
        </w:rPr>
        <w:footnoteRef/>
      </w:r>
      <w:r>
        <w:t xml:space="preserve">
          <w:r>
            <w:t xml:space="preserve">
              <w:r>
                <w:t xml:space="preserve"> Tischendorf, </w:t>
              </w:r>
              <w:r>
                <w:rPr>
                  <w:i/>
                </w:rPr>
                <w:t xml:space="preserve">Critical Apparatus</w:t>
              </w:r>
              <w:r>
                <w:t xml:space="preserve">.</w:t>
              </w:r>
            </w:t>
          </w:r>
        </w:t>
      </w:r>
    </w:p>
  </w:footnote>
  <w:footnote w:id="23221">
    <w:p>
      <w:pPr>
        <w:pStyle w:val="FootnoteText"/>
      </w:pPr>
      <w:r>
        <w:rPr>
          <w:rStyle w:val="FootnoteReference"/>
        </w:rPr>
        <w:footnoteRef/>
      </w:r>
      <w:r>
        <w:t xml:space="preserve">
          <w:r>
            <w:t xml:space="preserve">
              <w:r>
                <w:t xml:space="preserve"> Wallace, </w:t>
              </w:r>
              <w:r>
                <w:rPr>
                  <w:i/>
                </w:rPr>
                <w:t xml:space="preserve">Greek Grammar Beyond the Basics</w:t>
              </w:r>
              <w:r>
                <w:t xml:space="preserve">, 153.</w:t>
              </w:r>
            </w:t>
          </w:r>
        </w:t>
      </w:r>
    </w:p>
  </w:footnote>
  <w:footnote w:id="18486">
    <w:p>
      <w:pPr>
        <w:pStyle w:val="FootnoteText"/>
      </w:pPr>
      <w:r>
        <w:rPr>
          <w:rStyle w:val="FootnoteReference"/>
        </w:rPr>
        <w:footnoteRef/>
      </w:r>
      <w:r>
        <w:t xml:space="preserve">
          <w:r>
            <w:t xml:space="preserve">
              <w:r>
                <w:t xml:space="preserve"> Cf. W. Mounce, </w:t>
              </w:r>
              <w:r>
                <w:rPr>
                  <w:i/>
                </w:rPr>
                <w:t xml:space="preserve">Pastoral Epistles</w:t>
              </w:r>
              <w:r>
                <w:t xml:space="preserve"> [WBC], 145.</w:t>
              </w:r>
            </w:t>
          </w:r>
        </w:t>
      </w:r>
    </w:p>
  </w:footnote>
  <w:footnote w:id="19979">
    <w:p>
      <w:pPr>
        <w:pStyle w:val="FootnoteText"/>
      </w:pPr>
      <w:r>
        <w:rPr>
          <w:rStyle w:val="FootnoteReference"/>
        </w:rPr>
        <w:footnoteRef/>
      </w:r>
      <w:r>
        <w:t xml:space="preserve">
          <w:r>
            <w:t xml:space="preserve">
              <w:r>
                <w:t xml:space="preserve"> Bushnell, </w:t>
              </w:r>
              <w:r>
                <w:rPr>
                  <w:i/>
                </w:rPr>
                <w:t xml:space="preserve">God’s Word to Women</w:t>
              </w:r>
              <w:r>
                <w:t xml:space="preserve">,151.</w:t>
              </w:r>
            </w:t>
          </w:r>
        </w:t>
      </w:r>
    </w:p>
  </w:footnote>
  <w:footnote w:id="23930">
    <w:p>
      <w:pPr>
        <w:pStyle w:val="FootnoteText"/>
      </w:pPr>
      <w:r>
        <w:rPr>
          <w:rStyle w:val="FootnoteReference"/>
        </w:rPr>
        <w:footnoteRef/>
      </w:r>
      <w:r>
        <w:t xml:space="preserve">
          <w:r>
            <w:t xml:space="preserve">
              <w:r>
                <w:t xml:space="preserve"> Kostenberger and Schreiner, </w:t>
              </w:r>
              <w:r>
                <w:rPr>
                  <w:i/>
                </w:rPr>
                <w:t xml:space="preserve">Women in the Church</w:t>
              </w:r>
              <w:r>
                <w:t xml:space="preserve">, 3rd ed., Kindle, 222.</w:t>
              </w:r>
            </w:t>
          </w:r>
        </w:t>
      </w:r>
    </w:p>
  </w:footnote>
  <w:footnote w:id="29712">
    <w:p>
      <w:pPr>
        <w:pStyle w:val="FootnoteText"/>
      </w:pPr>
      <w:r>
        <w:rPr>
          <w:rStyle w:val="FootnoteReference"/>
        </w:rPr>
        <w:footnoteRef/>
      </w:r>
      <w:r>
        <w:t xml:space="preserve">
          <w:r>
            <w:t xml:space="preserve">
              <w:r>
                <w:t xml:space="preserve"> Richard and Catherin Clark Kroeger, </w:t>
              </w:r>
              <w:r>
                <w:rPr>
                  <w:i/>
                </w:rPr>
                <w:t xml:space="preserve">I Suffer Not a Woman</w:t>
              </w:r>
              <w:r>
                <w:t xml:space="preserve">, 176.</w:t>
              </w:r>
            </w:t>
          </w:r>
        </w:t>
      </w:r>
    </w:p>
  </w:footnote>
  <w:footnote w:id="13037">
    <w:p>
      <w:pPr>
        <w:pStyle w:val="FootnoteText"/>
      </w:pPr>
      <w:r>
        <w:rPr>
          <w:rStyle w:val="FootnoteReference"/>
        </w:rPr>
        <w:footnoteRef/>
      </w:r>
      <w:r>
        <w:t xml:space="preserve">
          <w:r>
            <w:t xml:space="preserve">
              <w:r>
                <w:t xml:space="preserve"> Ellicott, </w:t>
              </w:r>
              <w:r>
                <w:rPr>
                  <w:i/>
                </w:rPr>
                <w:t xml:space="preserve">The Pastoral Epistles of St. Paul</w:t>
              </w:r>
              <w:r>
                <w:t xml:space="preserve">, 38-39.</w:t>
              </w:r>
            </w:t>
          </w:r>
        </w:t>
      </w:r>
    </w:p>
  </w:footnote>
  <w:footnote w:id="23441">
    <w:p>
      <w:pPr>
        <w:pStyle w:val="FootnoteText"/>
      </w:pPr>
      <w:r>
        <w:rPr>
          <w:rStyle w:val="FootnoteReference"/>
        </w:rPr>
        <w:footnoteRef/>
      </w:r>
      <w:r>
        <w:t xml:space="preserve">
          <w:r>
            <w:t xml:space="preserve">
              <w:r>
                <w:t xml:space="preserve"> For the translation, see R. C. H. Lenski, </w:t>
              </w:r>
              <w:r>
                <w:rPr>
                  <w:i/>
                </w:rPr>
                <w:t xml:space="preserve">St. Paul’s Epistles to Timothy, Titus, and Philemon</w:t>
              </w:r>
              <w:r>
                <w:t xml:space="preserve">, 579; Kenneth S. Wuest, </w:t>
              </w:r>
              <w:r>
                <w:rPr>
                  <w:i/>
                </w:rPr>
                <w:t xml:space="preserve">New Testament</w:t>
              </w:r>
              <w:r>
                <w:t xml:space="preserve">, 493.</w:t>
              </w:r>
            </w:t>
          </w:r>
        </w:t>
      </w:r>
    </w:p>
  </w:footnote>
  <w:footnote w:id="12750">
    <w:p>
      <w:pPr>
        <w:pStyle w:val="FootnoteText"/>
      </w:pPr>
      <w:r>
        <w:rPr>
          <w:rStyle w:val="FootnoteReference"/>
        </w:rPr>
        <w:footnoteRef/>
      </w:r>
      <w:r>
        <w:t xml:space="preserve">
          <w:r>
            <w:t xml:space="preserve">
              <w:r>
                <w:t xml:space="preserve"> Carcopino, </w:t>
              </w:r>
              <w:r>
                <w:rPr>
                  <w:i/>
                </w:rPr>
                <w:t xml:space="preserve">Daily Life in Ancient Rome</w:t>
              </w:r>
              <w:r>
                <w:t xml:space="preserve">, 101, 164-66.</w:t>
              </w:r>
            </w:t>
          </w:r>
        </w:t>
      </w:r>
    </w:p>
  </w:footnote>
  <w:footnote w:id="12397">
    <w:p>
      <w:pPr>
        <w:pStyle w:val="FootnoteText"/>
      </w:pPr>
      <w:r>
        <w:rPr>
          <w:rStyle w:val="FootnoteReference"/>
        </w:rPr>
        <w:footnoteRef/>
      </w:r>
      <w:r>
        <w:t xml:space="preserve">
          <w:r>
            <w:t xml:space="preserve">
              <w:r>
                <w:t xml:space="preserve"> Cf. Lenski’s note on Philippians 4:5, </w:t>
              </w:r>
              <w:r>
                <w:rPr>
                  <w:i/>
                </w:rPr>
                <w:t xml:space="preserve">St. Paul’s Epistles to the Ephesians and Philippians</w:t>
              </w:r>
              <w:r>
                <w:t xml:space="preserve">, 875, 877.</w:t>
              </w:r>
            </w:t>
          </w:r>
        </w:t>
      </w:r>
    </w:p>
  </w:footnote>
  <w:footnote w:id="31120">
    <w:p>
      <w:pPr>
        <w:pStyle w:val="FootnoteText"/>
      </w:pPr>
      <w:r>
        <w:rPr>
          <w:rStyle w:val="FootnoteReference"/>
        </w:rPr>
        <w:footnoteRef/>
      </w:r>
      <w:r>
        <w:t xml:space="preserve">
          <w:r>
            <w:t xml:space="preserve">
              <w:r>
                <w:t xml:space="preserve"> Trench, Synonyms of the New Testament, 154.</w:t>
              </w:r>
            </w:t>
          </w:r>
        </w:t>
      </w:r>
    </w:p>
  </w:footnote>
  <w:footnote w:id="13235">
    <w:p>
      <w:pPr>
        <w:pStyle w:val="FootnoteText"/>
      </w:pPr>
      <w:r>
        <w:rPr>
          <w:rStyle w:val="FootnoteReference"/>
        </w:rPr>
        <w:footnoteRef/>
      </w:r>
      <w:r>
        <w:t xml:space="preserve">
          <w:r>
            <w:t xml:space="preserve">
              <w:r>
                <w:t xml:space="preserve"> Lenski: note on Philippians 4:5, </w:t>
              </w:r>
              <w:r>
                <w:rPr>
                  <w:i/>
                </w:rPr>
                <w:t xml:space="preserve">Ephesians and Philippians</w:t>
              </w:r>
              <w:r>
                <w:t xml:space="preserve">, 876.</w:t>
              </w:r>
            </w:t>
          </w:r>
        </w:t>
      </w:r>
    </w:p>
  </w:footnote>
  <w:footnote w:id="24674">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493.</w:t>
              </w:r>
            </w:t>
          </w:r>
        </w:t>
      </w:r>
    </w:p>
  </w:footnote>
  <w:footnote w:id="28726">
    <w:p>
      <w:pPr>
        <w:pStyle w:val="FootnoteText"/>
      </w:pPr>
      <w:r>
        <w:rPr>
          <w:rStyle w:val="FootnoteReference"/>
        </w:rPr>
        <w:footnoteRef/>
      </w:r>
      <w:r>
        <w:t xml:space="preserve">
          <w:r>
            <w:t xml:space="preserve">
              <w:r>
                <w:t xml:space="preserve"> Zodhiates, </w:t>
              </w:r>
              <w:r>
                <w:rPr>
                  <w:i/>
                </w:rPr>
                <w:t xml:space="preserve">Word Study Dictionary</w:t>
              </w:r>
              <w:r>
                <w:t xml:space="preserve">, 100.</w:t>
              </w:r>
            </w:t>
          </w:r>
        </w:t>
      </w:r>
    </w:p>
  </w:footnote>
  <w:footnote w:id="16837">
    <w:p>
      <w:pPr>
        <w:pStyle w:val="FootnoteText"/>
      </w:pPr>
      <w:r>
        <w:rPr>
          <w:rStyle w:val="FootnoteReference"/>
        </w:rPr>
        <w:footnoteRef/>
      </w:r>
      <w:r>
        <w:t xml:space="preserve">
          <w:r>
            <w:t xml:space="preserve">
              <w:r>
                <w:t xml:space="preserve"> William D. Mounce, </w:t>
              </w:r>
              <w:r>
                <w:rPr>
                  <w:i/>
                </w:rPr>
                <w:t xml:space="preserve">Pastoral Epistles</w:t>
              </w:r>
              <w:r>
                <w:t xml:space="preserve"> [WBC], 203.</w:t>
              </w:r>
            </w:t>
          </w:r>
        </w:t>
      </w:r>
    </w:p>
  </w:footnote>
  <w:footnote w:id="16145">
    <w:p>
      <w:pPr>
        <w:pStyle w:val="FootnoteText"/>
      </w:pPr>
      <w:r>
        <w:rPr>
          <w:rStyle w:val="FootnoteReference"/>
        </w:rPr>
        <w:footnoteRef/>
      </w:r>
      <w:r>
        <w:t xml:space="preserve">
          <w:r>
            <w:t xml:space="preserve">
              <w:r>
                <w:t xml:space="preserve"> Mounce, </w:t>
              </w:r>
              <w:r>
                <w:rPr>
                  <w:i/>
                </w:rPr>
                <w:t xml:space="preserve">Pastoral Epistles</w:t>
              </w:r>
              <w:r>
                <w:t xml:space="preserve">, [WBC], 202.</w:t>
              </w:r>
            </w:t>
          </w:r>
        </w:t>
      </w:r>
    </w:p>
  </w:footnote>
  <w:footnote w:id="23672">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599.</w:t>
              </w:r>
            </w:t>
          </w:r>
        </w:t>
      </w:r>
    </w:p>
  </w:footnote>
  <w:footnote w:id="13702">
    <w:p>
      <w:pPr>
        <w:pStyle w:val="FootnoteText"/>
      </w:pPr>
      <w:r>
        <w:rPr>
          <w:rStyle w:val="FootnoteReference"/>
        </w:rPr>
        <w:footnoteRef/>
      </w:r>
      <w:r>
        <w:t xml:space="preserve">
          <w:r>
            <w:t xml:space="preserve">
              <w:r>
                <w:t xml:space="preserve"> Bruce Metzger, </w:t>
              </w:r>
              <w:r>
                <w:rPr>
                  <w:i/>
                </w:rPr>
                <w:t xml:space="preserve">A Textual Commentary on the Greek New Testament</w:t>
              </w:r>
              <w:r>
                <w:t xml:space="preserve">, 641.</w:t>
              </w:r>
            </w:t>
          </w:r>
        </w:t>
      </w:r>
    </w:p>
  </w:footnote>
  <w:footnote w:id="12663">
    <w:p>
      <w:pPr>
        <w:pStyle w:val="FootnoteText"/>
      </w:pPr>
      <w:r>
        <w:rPr>
          <w:rStyle w:val="FootnoteReference"/>
        </w:rPr>
        <w:footnoteRef/>
      </w:r>
      <w:r>
        <w:t xml:space="preserve">
          <w:r>
            <w:t xml:space="preserve">
              <w:r>
                <w:t xml:space="preserve"> Philipp Comfort, </w:t>
              </w:r>
              <w:r>
                <w:rPr>
                  <w:i/>
                </w:rPr>
                <w:t xml:space="preserve">New Testament Text and Translation Commentary</w:t>
              </w:r>
              <w:r>
                <w:t xml:space="preserve">, 664.</w:t>
              </w:r>
            </w:t>
          </w:r>
        </w:t>
      </w:r>
    </w:p>
  </w:footnote>
  <w:footnote w:id="19537">
    <w:p>
      <w:pPr>
        <w:pStyle w:val="FootnoteText"/>
      </w:pPr>
      <w:r>
        <w:rPr>
          <w:rStyle w:val="FootnoteReference"/>
        </w:rPr>
        <w:footnoteRef/>
      </w:r>
      <w:r>
        <w:t xml:space="preserve">
          <w:r>
            <w:t xml:space="preserve">
              <w:r>
                <w:t xml:space="preserve"> Gene Green, </w:t>
              </w:r>
              <w:r>
                <w:rPr>
                  <w:i/>
                </w:rPr>
                <w:t xml:space="preserve">Jude and 2 Peter</w:t>
              </w:r>
              <w:r>
                <w:t xml:space="preserve"> [BECNT], 192.</w:t>
              </w:r>
            </w:t>
          </w:r>
        </w:t>
      </w:r>
    </w:p>
  </w:footnote>
  <w:footnote w:id="32353">
    <w:p>
      <w:pPr>
        <w:pStyle w:val="FootnoteText"/>
      </w:pPr>
      <w:r>
        <w:rPr>
          <w:rStyle w:val="FootnoteReference"/>
        </w:rPr>
        <w:footnoteRef/>
      </w:r>
      <w:r>
        <w:t xml:space="preserve">
          <w:r>
            <w:t xml:space="preserve">
              <w:r>
                <w:t xml:space="preserve"> Cf. Bullinger, </w:t>
              </w:r>
              <w:r>
                <w:rPr>
                  <w:i/>
                </w:rPr>
                <w:t xml:space="preserve">Figures of Speech</w:t>
              </w:r>
              <w:r>
                <w:t xml:space="preserve">, 804.</w:t>
              </w:r>
            </w:t>
          </w:r>
        </w:t>
      </w:r>
    </w:p>
  </w:footnote>
  <w:footnote w:id="20821">
    <w:p>
      <w:pPr>
        <w:pStyle w:val="FootnoteText"/>
      </w:pPr>
      <w:r>
        <w:rPr>
          <w:rStyle w:val="FootnoteReference"/>
        </w:rPr>
        <w:footnoteRef/>
      </w:r>
      <w:r>
        <w:t xml:space="preserve">
          <w:r>
            <w:t xml:space="preserve">
              <w:r>
                <w:t xml:space="preserve"> Cf. BDAG, s.v. “διά.”</w:t>
              </w:r>
            </w:t>
          </w:r>
        </w:t>
      </w:r>
    </w:p>
  </w:footnote>
  <w:footnote w:id="25108">
    <w:p>
      <w:pPr>
        <w:pStyle w:val="FootnoteText"/>
      </w:pPr>
      <w:r>
        <w:rPr>
          <w:rStyle w:val="FootnoteReference"/>
        </w:rPr>
        <w:footnoteRef/>
      </w:r>
      <w:r>
        <w:t xml:space="preserve">
          <w:r>
            <w:t xml:space="preserve">
              <w:r>
                <w:t xml:space="preserve"> BDAG, s.v. “μελετάω.”</w:t>
              </w:r>
            </w:t>
          </w:r>
        </w:t>
      </w:r>
    </w:p>
  </w:footnote>
  <w:footnote w:id="32566">
    <w:p>
      <w:pPr>
        <w:pStyle w:val="FootnoteText"/>
      </w:pPr>
      <w:r>
        <w:rPr>
          <w:rStyle w:val="FootnoteReference"/>
        </w:rPr>
        <w:footnoteRef/>
      </w:r>
      <w:r>
        <w:t xml:space="preserve">
          <w:r>
            <w:t xml:space="preserve">
              <w:r>
                <w:t xml:space="preserve"> BDAG.</w:t>
              </w:r>
            </w:t>
          </w:r>
        </w:t>
      </w:r>
    </w:p>
  </w:footnote>
  <w:footnote w:id="15586">
    <w:p>
      <w:pPr>
        <w:pStyle w:val="FootnoteText"/>
      </w:pPr>
      <w:r>
        <w:rPr>
          <w:rStyle w:val="FootnoteReference"/>
        </w:rPr>
        <w:footnoteRef/>
      </w:r>
      <w:r>
        <w:t xml:space="preserve">
          <w:r>
            <w:t xml:space="preserve">
              <w:r>
                <w:t xml:space="preserve"> Gregory Aldrete, Daily Life in the Roman City, 97-99.</w:t>
              </w:r>
            </w:t>
          </w:r>
        </w:t>
      </w:r>
    </w:p>
  </w:footnote>
  <w:footnote w:id="31080">
    <w:p>
      <w:pPr>
        <w:pStyle w:val="FootnoteText"/>
      </w:pPr>
      <w:r>
        <w:rPr>
          <w:rStyle w:val="FootnoteReference"/>
        </w:rPr>
        <w:footnoteRef/>
      </w:r>
      <w:r>
        <w:t xml:space="preserve">
          <w:r>
            <w:t xml:space="preserve">
              <w:r>
                <w:t xml:space="preserve"> Richard Chenevix Trench, </w:t>
              </w:r>
              <w:r>
                <w:rPr>
                  <w:i/>
                </w:rPr>
                <w:t xml:space="preserve">Trench’s Synonyms of the New Testament</w:t>
              </w:r>
              <w:r>
                <w:t xml:space="preserve">, Wm. B.. Eerdmans Publishing Company, Grand Rapids, 1969, a reprint of the 1880 edition, 96.</w:t>
              </w:r>
            </w:t>
          </w:r>
        </w:t>
      </w:r>
    </w:p>
  </w:footnote>
  <w:footnote w:id="14543">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694.</w:t>
              </w:r>
            </w:t>
          </w:r>
        </w:t>
      </w:r>
    </w:p>
  </w:footnote>
  <w:footnote w:id="20403">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686-87.</w:t>
              </w:r>
            </w:t>
          </w:r>
        </w:t>
      </w:r>
    </w:p>
  </w:footnote>
  <w:footnote w:id="12193">
    <w:p>
      <w:pPr>
        <w:pStyle w:val="FootnoteText"/>
      </w:pPr>
      <w:r>
        <w:rPr>
          <w:rStyle w:val="FootnoteReference"/>
        </w:rPr>
        <w:footnoteRef/>
      </w:r>
      <w:r>
        <w:t xml:space="preserve">
          <w:r>
            <w:t xml:space="preserve">
              <w:r>
                <w:t xml:space="preserve"> Lenski, </w:t>
              </w:r>
              <w:r>
                <w:rPr>
                  <w:i/>
                </w:rPr>
                <w:t xml:space="preserve">Colossians, Thessalonians, Timothy</w:t>
              </w:r>
              <w:r>
                <w:t xml:space="preserve">, 691.</w:t>
              </w:r>
            </w:t>
          </w:r>
        </w:t>
      </w:r>
    </w:p>
  </w:footnote>
  <w:footnote w:id="19601">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716.</w:t>
              </w:r>
            </w:t>
          </w:r>
        </w:t>
      </w:r>
    </w:p>
  </w:footnote>
  <w:footnote w:id="20223">
    <w:p>
      <w:pPr>
        <w:pStyle w:val="FootnoteText"/>
      </w:pPr>
      <w:r>
        <w:rPr>
          <w:rStyle w:val="FootnoteReference"/>
        </w:rPr>
        <w:footnoteRef/>
      </w:r>
      <w:r>
        <w:t xml:space="preserve">
          <w:r>
            <w:t xml:space="preserve">
              <w:r>
                <w:t xml:space="preserve"> Robert W. Yarbough, </w:t>
              </w:r>
              <w:r>
                <w:rPr>
                  <w:i/>
                </w:rPr>
                <w:t xml:space="preserve">The Letters to Timothy and Titus </w:t>
              </w:r>
              <w:r>
                <w:t xml:space="preserve">[PNTC], 327.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898895">
    <w:multiLevelType w:val="hybridMultilevel"/>
    <w:lvl w:ilvl="0" w:tplc="63890575">
      <w:start w:val="1"/>
      <w:numFmt w:val="decimal"/>
      <w:lvlText w:val="%1."/>
      <w:lvlJc w:val="left"/>
      <w:pPr>
        <w:ind w:left="720" w:hanging="360"/>
      </w:pPr>
    </w:lvl>
    <w:lvl w:ilvl="1" w:tplc="63890575" w:tentative="1">
      <w:start w:val="1"/>
      <w:numFmt w:val="lowerLetter"/>
      <w:lvlText w:val="%2."/>
      <w:lvlJc w:val="left"/>
      <w:pPr>
        <w:ind w:left="1440" w:hanging="360"/>
      </w:pPr>
    </w:lvl>
    <w:lvl w:ilvl="2" w:tplc="63890575" w:tentative="1">
      <w:start w:val="1"/>
      <w:numFmt w:val="lowerRoman"/>
      <w:lvlText w:val="%3."/>
      <w:lvlJc w:val="right"/>
      <w:pPr>
        <w:ind w:left="2160" w:hanging="180"/>
      </w:pPr>
    </w:lvl>
    <w:lvl w:ilvl="3" w:tplc="63890575" w:tentative="1">
      <w:start w:val="1"/>
      <w:numFmt w:val="decimal"/>
      <w:lvlText w:val="%4."/>
      <w:lvlJc w:val="left"/>
      <w:pPr>
        <w:ind w:left="2880" w:hanging="360"/>
      </w:pPr>
    </w:lvl>
    <w:lvl w:ilvl="4" w:tplc="63890575" w:tentative="1">
      <w:start w:val="1"/>
      <w:numFmt w:val="lowerLetter"/>
      <w:lvlText w:val="%5."/>
      <w:lvlJc w:val="left"/>
      <w:pPr>
        <w:ind w:left="3600" w:hanging="360"/>
      </w:pPr>
    </w:lvl>
    <w:lvl w:ilvl="5" w:tplc="63890575" w:tentative="1">
      <w:start w:val="1"/>
      <w:numFmt w:val="lowerRoman"/>
      <w:lvlText w:val="%6."/>
      <w:lvlJc w:val="right"/>
      <w:pPr>
        <w:ind w:left="4320" w:hanging="180"/>
      </w:pPr>
    </w:lvl>
    <w:lvl w:ilvl="6" w:tplc="63890575" w:tentative="1">
      <w:start w:val="1"/>
      <w:numFmt w:val="decimal"/>
      <w:lvlText w:val="%7."/>
      <w:lvlJc w:val="left"/>
      <w:pPr>
        <w:ind w:left="5040" w:hanging="360"/>
      </w:pPr>
    </w:lvl>
    <w:lvl w:ilvl="7" w:tplc="63890575" w:tentative="1">
      <w:start w:val="1"/>
      <w:numFmt w:val="lowerLetter"/>
      <w:lvlText w:val="%8."/>
      <w:lvlJc w:val="left"/>
      <w:pPr>
        <w:ind w:left="5760" w:hanging="360"/>
      </w:pPr>
    </w:lvl>
    <w:lvl w:ilvl="8" w:tplc="63890575" w:tentative="1">
      <w:start w:val="1"/>
      <w:numFmt w:val="lowerRoman"/>
      <w:lvlText w:val="%9."/>
      <w:lvlJc w:val="right"/>
      <w:pPr>
        <w:ind w:left="6480" w:hanging="180"/>
      </w:pPr>
    </w:lvl>
  </w:abstractNum>
  <w:abstractNum w:abstractNumId="48898894">
    <w:multiLevelType w:val="hybridMultilevel"/>
    <w:lvl w:ilvl="0" w:tplc="16308431">
      <w:start w:val="1"/>
      <w:numFmt w:val="decimal"/>
      <w:lvlText w:val="%1."/>
      <w:lvlJc w:val="left"/>
      <w:pPr>
        <w:ind w:left="720" w:hanging="360"/>
      </w:pPr>
    </w:lvl>
    <w:lvl w:ilvl="1" w:tplc="16308431" w:tentative="1">
      <w:start w:val="1"/>
      <w:numFmt w:val="lowerLetter"/>
      <w:lvlText w:val="%2."/>
      <w:lvlJc w:val="left"/>
      <w:pPr>
        <w:ind w:left="1440" w:hanging="360"/>
      </w:pPr>
    </w:lvl>
    <w:lvl w:ilvl="2" w:tplc="16308431" w:tentative="1">
      <w:start w:val="1"/>
      <w:numFmt w:val="lowerRoman"/>
      <w:lvlText w:val="%3."/>
      <w:lvlJc w:val="right"/>
      <w:pPr>
        <w:ind w:left="2160" w:hanging="180"/>
      </w:pPr>
    </w:lvl>
    <w:lvl w:ilvl="3" w:tplc="16308431" w:tentative="1">
      <w:start w:val="1"/>
      <w:numFmt w:val="decimal"/>
      <w:lvlText w:val="%4."/>
      <w:lvlJc w:val="left"/>
      <w:pPr>
        <w:ind w:left="2880" w:hanging="360"/>
      </w:pPr>
    </w:lvl>
    <w:lvl w:ilvl="4" w:tplc="16308431" w:tentative="1">
      <w:start w:val="1"/>
      <w:numFmt w:val="lowerLetter"/>
      <w:lvlText w:val="%5."/>
      <w:lvlJc w:val="left"/>
      <w:pPr>
        <w:ind w:left="3600" w:hanging="360"/>
      </w:pPr>
    </w:lvl>
    <w:lvl w:ilvl="5" w:tplc="16308431" w:tentative="1">
      <w:start w:val="1"/>
      <w:numFmt w:val="lowerRoman"/>
      <w:lvlText w:val="%6."/>
      <w:lvlJc w:val="right"/>
      <w:pPr>
        <w:ind w:left="4320" w:hanging="180"/>
      </w:pPr>
    </w:lvl>
    <w:lvl w:ilvl="6" w:tplc="16308431" w:tentative="1">
      <w:start w:val="1"/>
      <w:numFmt w:val="decimal"/>
      <w:lvlText w:val="%7."/>
      <w:lvlJc w:val="left"/>
      <w:pPr>
        <w:ind w:left="5040" w:hanging="360"/>
      </w:pPr>
    </w:lvl>
    <w:lvl w:ilvl="7" w:tplc="16308431" w:tentative="1">
      <w:start w:val="1"/>
      <w:numFmt w:val="lowerLetter"/>
      <w:lvlText w:val="%8."/>
      <w:lvlJc w:val="left"/>
      <w:pPr>
        <w:ind w:left="5760" w:hanging="360"/>
      </w:pPr>
    </w:lvl>
    <w:lvl w:ilvl="8" w:tplc="16308431" w:tentative="1">
      <w:start w:val="1"/>
      <w:numFmt w:val="lowerRoman"/>
      <w:lvlText w:val="%9."/>
      <w:lvlJc w:val="right"/>
      <w:pPr>
        <w:ind w:left="6480" w:hanging="180"/>
      </w:pPr>
    </w:lvl>
  </w:abstractNum>
  <w:abstractNum w:abstractNumId="48898893">
    <w:multiLevelType w:val="hybridMultilevel"/>
    <w:lvl w:ilvl="0" w:tplc="64106051">
      <w:start w:val="1"/>
      <w:numFmt w:val="decimal"/>
      <w:lvlText w:val="%1."/>
      <w:lvlJc w:val="left"/>
      <w:pPr>
        <w:ind w:left="720" w:hanging="360"/>
      </w:pPr>
    </w:lvl>
    <w:lvl w:ilvl="1" w:tplc="64106051" w:tentative="1">
      <w:start w:val="1"/>
      <w:numFmt w:val="lowerLetter"/>
      <w:lvlText w:val="%2."/>
      <w:lvlJc w:val="left"/>
      <w:pPr>
        <w:ind w:left="1440" w:hanging="360"/>
      </w:pPr>
    </w:lvl>
    <w:lvl w:ilvl="2" w:tplc="64106051" w:tentative="1">
      <w:start w:val="1"/>
      <w:numFmt w:val="lowerRoman"/>
      <w:lvlText w:val="%3."/>
      <w:lvlJc w:val="right"/>
      <w:pPr>
        <w:ind w:left="2160" w:hanging="180"/>
      </w:pPr>
    </w:lvl>
    <w:lvl w:ilvl="3" w:tplc="64106051" w:tentative="1">
      <w:start w:val="1"/>
      <w:numFmt w:val="decimal"/>
      <w:lvlText w:val="%4."/>
      <w:lvlJc w:val="left"/>
      <w:pPr>
        <w:ind w:left="2880" w:hanging="360"/>
      </w:pPr>
    </w:lvl>
    <w:lvl w:ilvl="4" w:tplc="64106051" w:tentative="1">
      <w:start w:val="1"/>
      <w:numFmt w:val="lowerLetter"/>
      <w:lvlText w:val="%5."/>
      <w:lvlJc w:val="left"/>
      <w:pPr>
        <w:ind w:left="3600" w:hanging="360"/>
      </w:pPr>
    </w:lvl>
    <w:lvl w:ilvl="5" w:tplc="64106051" w:tentative="1">
      <w:start w:val="1"/>
      <w:numFmt w:val="lowerRoman"/>
      <w:lvlText w:val="%6."/>
      <w:lvlJc w:val="right"/>
      <w:pPr>
        <w:ind w:left="4320" w:hanging="180"/>
      </w:pPr>
    </w:lvl>
    <w:lvl w:ilvl="6" w:tplc="64106051" w:tentative="1">
      <w:start w:val="1"/>
      <w:numFmt w:val="decimal"/>
      <w:lvlText w:val="%7."/>
      <w:lvlJc w:val="left"/>
      <w:pPr>
        <w:ind w:left="5040" w:hanging="360"/>
      </w:pPr>
    </w:lvl>
    <w:lvl w:ilvl="7" w:tplc="64106051" w:tentative="1">
      <w:start w:val="1"/>
      <w:numFmt w:val="lowerLetter"/>
      <w:lvlText w:val="%8."/>
      <w:lvlJc w:val="left"/>
      <w:pPr>
        <w:ind w:left="5760" w:hanging="360"/>
      </w:pPr>
    </w:lvl>
    <w:lvl w:ilvl="8" w:tplc="64106051" w:tentative="1">
      <w:start w:val="1"/>
      <w:numFmt w:val="lowerRoman"/>
      <w:lvlText w:val="%9."/>
      <w:lvlJc w:val="right"/>
      <w:pPr>
        <w:ind w:left="6480" w:hanging="180"/>
      </w:pPr>
    </w:lvl>
  </w:abstractNum>
  <w:abstractNum w:abstractNumId="48898892">
    <w:multiLevelType w:val="hybridMultilevel"/>
    <w:lvl w:ilvl="0" w:tplc="40392036">
      <w:start w:val="1"/>
      <w:numFmt w:val="decimal"/>
      <w:lvlText w:val="%1."/>
      <w:lvlJc w:val="left"/>
      <w:pPr>
        <w:ind w:left="720" w:hanging="360"/>
      </w:pPr>
    </w:lvl>
    <w:lvl w:ilvl="1" w:tplc="40392036" w:tentative="1">
      <w:start w:val="1"/>
      <w:numFmt w:val="lowerLetter"/>
      <w:lvlText w:val="%2."/>
      <w:lvlJc w:val="left"/>
      <w:pPr>
        <w:ind w:left="1440" w:hanging="360"/>
      </w:pPr>
    </w:lvl>
    <w:lvl w:ilvl="2" w:tplc="40392036" w:tentative="1">
      <w:start w:val="1"/>
      <w:numFmt w:val="lowerRoman"/>
      <w:lvlText w:val="%3."/>
      <w:lvlJc w:val="right"/>
      <w:pPr>
        <w:ind w:left="2160" w:hanging="180"/>
      </w:pPr>
    </w:lvl>
    <w:lvl w:ilvl="3" w:tplc="40392036" w:tentative="1">
      <w:start w:val="1"/>
      <w:numFmt w:val="decimal"/>
      <w:lvlText w:val="%4."/>
      <w:lvlJc w:val="left"/>
      <w:pPr>
        <w:ind w:left="2880" w:hanging="360"/>
      </w:pPr>
    </w:lvl>
    <w:lvl w:ilvl="4" w:tplc="40392036" w:tentative="1">
      <w:start w:val="1"/>
      <w:numFmt w:val="lowerLetter"/>
      <w:lvlText w:val="%5."/>
      <w:lvlJc w:val="left"/>
      <w:pPr>
        <w:ind w:left="3600" w:hanging="360"/>
      </w:pPr>
    </w:lvl>
    <w:lvl w:ilvl="5" w:tplc="40392036" w:tentative="1">
      <w:start w:val="1"/>
      <w:numFmt w:val="lowerRoman"/>
      <w:lvlText w:val="%6."/>
      <w:lvlJc w:val="right"/>
      <w:pPr>
        <w:ind w:left="4320" w:hanging="180"/>
      </w:pPr>
    </w:lvl>
    <w:lvl w:ilvl="6" w:tplc="40392036" w:tentative="1">
      <w:start w:val="1"/>
      <w:numFmt w:val="decimal"/>
      <w:lvlText w:val="%7."/>
      <w:lvlJc w:val="left"/>
      <w:pPr>
        <w:ind w:left="5040" w:hanging="360"/>
      </w:pPr>
    </w:lvl>
    <w:lvl w:ilvl="7" w:tplc="40392036" w:tentative="1">
      <w:start w:val="1"/>
      <w:numFmt w:val="lowerLetter"/>
      <w:lvlText w:val="%8."/>
      <w:lvlJc w:val="left"/>
      <w:pPr>
        <w:ind w:left="5760" w:hanging="360"/>
      </w:pPr>
    </w:lvl>
    <w:lvl w:ilvl="8" w:tplc="40392036" w:tentative="1">
      <w:start w:val="1"/>
      <w:numFmt w:val="lowerRoman"/>
      <w:lvlText w:val="%9."/>
      <w:lvlJc w:val="right"/>
      <w:pPr>
        <w:ind w:left="6480" w:hanging="180"/>
      </w:pPr>
    </w:lvl>
  </w:abstractNum>
  <w:abstractNum w:abstractNumId="48898891">
    <w:multiLevelType w:val="hybridMultilevel"/>
    <w:lvl w:ilvl="0" w:tplc="87967115">
      <w:start w:val="1"/>
      <w:numFmt w:val="decimal"/>
      <w:lvlText w:val="%1."/>
      <w:lvlJc w:val="left"/>
      <w:pPr>
        <w:ind w:left="720" w:hanging="360"/>
      </w:pPr>
    </w:lvl>
    <w:lvl w:ilvl="1" w:tplc="87967115" w:tentative="1">
      <w:start w:val="1"/>
      <w:numFmt w:val="lowerLetter"/>
      <w:lvlText w:val="%2."/>
      <w:lvlJc w:val="left"/>
      <w:pPr>
        <w:ind w:left="1440" w:hanging="360"/>
      </w:pPr>
    </w:lvl>
    <w:lvl w:ilvl="2" w:tplc="87967115" w:tentative="1">
      <w:start w:val="1"/>
      <w:numFmt w:val="lowerRoman"/>
      <w:lvlText w:val="%3."/>
      <w:lvlJc w:val="right"/>
      <w:pPr>
        <w:ind w:left="2160" w:hanging="180"/>
      </w:pPr>
    </w:lvl>
    <w:lvl w:ilvl="3" w:tplc="87967115" w:tentative="1">
      <w:start w:val="1"/>
      <w:numFmt w:val="decimal"/>
      <w:lvlText w:val="%4."/>
      <w:lvlJc w:val="left"/>
      <w:pPr>
        <w:ind w:left="2880" w:hanging="360"/>
      </w:pPr>
    </w:lvl>
    <w:lvl w:ilvl="4" w:tplc="87967115" w:tentative="1">
      <w:start w:val="1"/>
      <w:numFmt w:val="lowerLetter"/>
      <w:lvlText w:val="%5."/>
      <w:lvlJc w:val="left"/>
      <w:pPr>
        <w:ind w:left="3600" w:hanging="360"/>
      </w:pPr>
    </w:lvl>
    <w:lvl w:ilvl="5" w:tplc="87967115" w:tentative="1">
      <w:start w:val="1"/>
      <w:numFmt w:val="lowerRoman"/>
      <w:lvlText w:val="%6."/>
      <w:lvlJc w:val="right"/>
      <w:pPr>
        <w:ind w:left="4320" w:hanging="180"/>
      </w:pPr>
    </w:lvl>
    <w:lvl w:ilvl="6" w:tplc="87967115" w:tentative="1">
      <w:start w:val="1"/>
      <w:numFmt w:val="decimal"/>
      <w:lvlText w:val="%7."/>
      <w:lvlJc w:val="left"/>
      <w:pPr>
        <w:ind w:left="5040" w:hanging="360"/>
      </w:pPr>
    </w:lvl>
    <w:lvl w:ilvl="7" w:tplc="87967115" w:tentative="1">
      <w:start w:val="1"/>
      <w:numFmt w:val="lowerLetter"/>
      <w:lvlText w:val="%8."/>
      <w:lvlJc w:val="left"/>
      <w:pPr>
        <w:ind w:left="5760" w:hanging="360"/>
      </w:pPr>
    </w:lvl>
    <w:lvl w:ilvl="8" w:tplc="87967115" w:tentative="1">
      <w:start w:val="1"/>
      <w:numFmt w:val="lowerRoman"/>
      <w:lvlText w:val="%9."/>
      <w:lvlJc w:val="right"/>
      <w:pPr>
        <w:ind w:left="6480" w:hanging="180"/>
      </w:pPr>
    </w:lvl>
  </w:abstractNum>
  <w:abstractNum w:abstractNumId="17781">
    <w:multiLevelType w:val="hybridMultilevel"/>
    <w:lvl w:ilvl="0" w:tplc="585246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781">
    <w:abstractNumId w:val="17781"/>
  </w:num>
  <w:num w:numId="48898891">
    <w:abstractNumId w:val="48898891"/>
  </w:num>
  <w:num w:numId="48898892">
    <w:abstractNumId w:val="48898892"/>
  </w:num>
  <w:num w:numId="48898893">
    <w:abstractNumId w:val="48898893"/>
  </w:num>
  <w:num w:numId="48898894">
    <w:abstractNumId w:val="48898894"/>
  </w:num>
  <w:num w:numId="48898895">
    <w:abstractNumId w:val="488988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9566105" Type="http://schemas.openxmlformats.org/officeDocument/2006/relationships/numbering" Target="numbering.xml"/><Relationship Id="rId325151806" Type="http://schemas.openxmlformats.org/officeDocument/2006/relationships/comments" Target="comments.xml"/><Relationship Id="rId24436862ad74b5d9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