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FootnoteReference"/>
        </w:rPr>
        <w:footnoteReference w:id="13110"/>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FootnoteReference"/>
        </w:rPr>
        <w:footnoteReference w:id="27663"/>
      </w:r>
      <w:r>
        <w:rPr/>
        <w:t xml:space="preserve"> even to the Sea of the Arabah, the Salt Sea,</w:t>
      </w:r>
      <w:r>
        <w:rPr>
          <w:rStyle w:val="FootnoteReference"/>
        </w:rPr>
        <w:footnoteReference w:id="28755"/>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FootnoteReference"/>
        </w:rPr>
        <w:footnoteReference w:id="14933"/>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so that the killer who kills his neighbor unintentionally but did not previously hate him could flee there, and that by fleeing to one of those cities he would live: </w:t>
      </w:r>
      <w:r>
        <w:rPr>
          <w:rStyle w:val="rSupStyle"/>
          <w:vertAlign w:val="superscript"/>
        </w:rPr>
        <w:t xml:space="preserve">43</w:t>
      </w:r>
      <w:r>
        <w:rPr>
          <w:i/>
          <w:iCs/>
        </w:rPr>
        <w:t xml:space="preserve">the city of Bezer</w:t>
      </w:r>
      <w:r>
        <w:rPr/>
        <w:t xml:space="preserve"> in the wilderness on the tableland for the Reubenites, and </w:t>
      </w:r>
      <w:r>
        <w:rPr>
          <w:i/>
          <w:iCs/>
        </w:rPr>
        <w:t xml:space="preserve">the city of</w:t>
      </w:r>
      <w:r>
        <w:rPr/>
        <w:t xml:space="preserve"> Ramoth in Gilead for the Gadites; and </w:t>
      </w:r>
      <w:r>
        <w:rPr>
          <w:i/>
          <w:iCs/>
        </w:rPr>
        <w:t xml:space="preserve">the city of</w:t>
      </w:r>
      <w:r>
        <w:rPr/>
        <w:t xml:space="preserve">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FootnoteReference"/>
        </w:rPr>
        <w:footnoteReference w:id="21807"/>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FootnoteReference"/>
        </w:rPr>
        <w:footnoteReference w:id="22457"/>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FootnoteReference"/>
        </w:rPr>
        <w:footnoteReference w:id="25719"/>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FootnoteReference"/>
        </w:rPr>
        <w:footnoteReference w:id="25638"/>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FootnoteReference"/>
        </w:rPr>
        <w:footnoteReference w:id="13111"/>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previously hate him,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FootnoteReference"/>
        </w:rPr>
        <w:footnoteReference w:id="20164"/>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FootnoteReference"/>
        </w:rPr>
        <w:footnoteReference w:id="19540"/>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contemptible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FootnoteReference"/>
        </w:rPr>
        <w:footnoteReference w:id="30858"/>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FootnoteReference"/>
        </w:rPr>
        <w:footnoteReference w:id="21222"/>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FootnoteReference"/>
        </w:rPr>
        <w:footnoteReference w:id="24147"/>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FootnoteReference"/>
              </w:rPr>
              <w:footnoteReference w:id="2348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FootnoteReference"/>
              </w:rPr>
              <w:footnoteReference w:id="29976"/>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FootnoteReference"/>
              </w:rPr>
              <w:footnoteReference w:id="29715"/>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FootnoteReference"/>
        </w:rPr>
        <w:footnoteReference w:id="32114"/>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FootnoteReference"/>
              </w:rPr>
              <w:footnoteReference w:id="1508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FootnoteReference"/>
              </w:rPr>
              <w:footnoteReference w:id="10612"/>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FootnoteReference"/>
              </w:rPr>
              <w:footnoteReference w:id="11177"/>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53386862ad31e11a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140620"/>
      <w:docPartObj>
        <w:docPartGallery w:val="Page Numbers (Bottom of Page)"/>
        <w:docPartUnique/>
      </w:docPartObj>
    </w:sdtPr>
    <w:sdtContent>
      <w:sdt>
        <w:sdtPr>
          <w:id w:val="2528229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110">
    <w:p>
      <w:pPr>
        <w:pStyle w:val="FootnoteText"/>
      </w:pPr>
      <w:r>
        <w:rPr>
          <w:rStyle w:val="FootnoteReference"/>
        </w:rPr>
        <w:footnoteRef/>
      </w:r>
      <w:r>
        <w:t xml:space="preserve">
          <w:r>
            <w:t xml:space="preserve">
              <w:r>
                <w:t xml:space="preserve"> 13 1/2 feet long and 6 feet wide (4.1 meters long and 1.8 meters wide)</w:t>
              </w:r>
            </w:t>
          </w:r>
        </w:t>
      </w:r>
    </w:p>
  </w:footnote>
  <w:footnote w:id="27663">
    <w:p>
      <w:pPr>
        <w:pStyle w:val="FootnoteText"/>
      </w:pPr>
      <w:r>
        <w:rPr>
          <w:rStyle w:val="FootnoteReference"/>
        </w:rPr>
        <w:footnoteRef/>
      </w:r>
      <w:r>
        <w:t xml:space="preserve">
          <w:r>
            <w:t xml:space="preserve">
              <w:r>
                <w:t xml:space="preserve"> The Sea of Galilee</w:t>
              </w:r>
            </w:t>
          </w:r>
        </w:t>
      </w:r>
    </w:p>
  </w:footnote>
  <w:footnote w:id="28755">
    <w:p>
      <w:pPr>
        <w:pStyle w:val="FootnoteText"/>
      </w:pPr>
      <w:r>
        <w:rPr>
          <w:rStyle w:val="FootnoteReference"/>
        </w:rPr>
        <w:footnoteRef/>
      </w:r>
      <w:r>
        <w:t xml:space="preserve">
          <w:r>
            <w:t xml:space="preserve">
              <w:r>
                <w:t xml:space="preserve"> The Dead Sea</w:t>
              </w:r>
            </w:t>
          </w:r>
        </w:t>
      </w:r>
    </w:p>
  </w:footnote>
  <w:footnote w:id="14933">
    <w:p>
      <w:pPr>
        <w:pStyle w:val="FootnoteText"/>
      </w:pPr>
      <w:r>
        <w:rPr>
          <w:rStyle w:val="FootnoteReference"/>
        </w:rPr>
        <w:footnoteRef/>
      </w:r>
      <w:r>
        <w:t xml:space="preserve">
          <w:r>
            <w:t xml:space="preserve">
              <w:r>
                <w:t xml:space="preserve"> Or “worship them”</w:t>
              </w:r>
            </w:t>
          </w:r>
        </w:t>
      </w:r>
    </w:p>
  </w:footnote>
  <w:footnote w:id="21807">
    <w:p>
      <w:pPr>
        <w:pStyle w:val="FootnoteText"/>
      </w:pPr>
      <w:r>
        <w:rPr>
          <w:rStyle w:val="FootnoteReference"/>
        </w:rPr>
        <w:footnoteRef/>
      </w:r>
      <w:r>
        <w:t xml:space="preserve">
          <w:r>
            <w:t xml:space="preserve">
              <w:r>
                <w:t xml:space="preserve"> Or “worship them”</w:t>
              </w:r>
            </w:t>
          </w:r>
        </w:t>
      </w:r>
    </w:p>
  </w:footnote>
  <w:footnote w:id="22457">
    <w:p>
      <w:pPr>
        <w:pStyle w:val="FootnoteText"/>
      </w:pPr>
      <w:r>
        <w:rPr>
          <w:rStyle w:val="FootnoteReference"/>
        </w:rPr>
        <w:footnoteRef/>
      </w:r>
      <w:r>
        <w:t xml:space="preserve">
          <w:r>
            <w:t xml:space="preserve">
              <w:r>
                <w:t xml:space="preserve"> Or “worship them”</w:t>
              </w:r>
            </w:t>
          </w:r>
        </w:t>
      </w:r>
    </w:p>
  </w:footnote>
  <w:footnote w:id="25719">
    <w:p>
      <w:pPr>
        <w:pStyle w:val="FootnoteText"/>
      </w:pPr>
      <w:r>
        <w:rPr>
          <w:rStyle w:val="FootnoteReference"/>
        </w:rPr>
        <w:footnoteRef/>
      </w:r>
      <w:r>
        <w:t xml:space="preserve">
          <w:r>
            <w:t xml:space="preserve">
              <w:r>
                <w:t xml:space="preserve"> Or “the wells of the sons of Jaakan”</w:t>
              </w:r>
            </w:t>
          </w:r>
        </w:t>
      </w:r>
    </w:p>
  </w:footnote>
  <w:footnote w:id="25638">
    <w:p>
      <w:pPr>
        <w:pStyle w:val="FootnoteText"/>
      </w:pPr>
      <w:r>
        <w:rPr>
          <w:rStyle w:val="FootnoteReference"/>
        </w:rPr>
        <w:footnoteRef/>
      </w:r>
      <w:r>
        <w:t xml:space="preserve">
          <w:r>
            <w:t xml:space="preserve">
              <w:r>
                <w:t xml:space="preserve"> Or “worship them”</w:t>
              </w:r>
            </w:t>
          </w:r>
        </w:t>
      </w:r>
    </w:p>
  </w:footnote>
  <w:footnote w:id="13111">
    <w:p>
      <w:pPr>
        <w:pStyle w:val="FootnoteText"/>
      </w:pPr>
      <w:r>
        <w:rPr>
          <w:rStyle w:val="FootnoteReference"/>
        </w:rPr>
        <w:footnoteRef/>
      </w:r>
      <w:r>
        <w:t xml:space="preserve">
          <w:r>
            <w:t xml:space="preserve">
              <w:r>
                <w:t xml:space="preserve"> Or “worship them”</w:t>
              </w:r>
            </w:t>
          </w:r>
        </w:t>
      </w:r>
    </w:p>
  </w:footnote>
  <w:footnote w:id="20164">
    <w:p>
      <w:pPr>
        <w:pStyle w:val="FootnoteText"/>
      </w:pPr>
      <w:r>
        <w:rPr>
          <w:rStyle w:val="FootnoteReference"/>
        </w:rPr>
        <w:footnoteRef/>
      </w:r>
      <w:r>
        <w:t xml:space="preserve">
          <w:r>
            <w:t xml:space="preserve">
              <w:r>
                <w:t xml:space="preserve"> Roughly 2.5 pounds (1.13 kilograms)</w:t>
              </w:r>
            </w:t>
          </w:r>
        </w:t>
      </w:r>
    </w:p>
  </w:footnote>
  <w:footnote w:id="19540">
    <w:p>
      <w:pPr>
        <w:pStyle w:val="FootnoteText"/>
      </w:pPr>
      <w:r>
        <w:rPr>
          <w:rStyle w:val="FootnoteReference"/>
        </w:rPr>
        <w:footnoteRef/>
      </w:r>
      <w:r>
        <w:t xml:space="preserve">
          <w:r>
            <w:t xml:space="preserve">
              <w:r>
                <w:t xml:space="preserve"> Roughly 1.25 pounds (567 grams)</w:t>
              </w:r>
            </w:t>
          </w:r>
        </w:t>
      </w:r>
    </w:p>
  </w:footnote>
  <w:footnote w:id="30858">
    <w:p>
      <w:pPr>
        <w:pStyle w:val="FootnoteText"/>
      </w:pPr>
      <w:r>
        <w:rPr>
          <w:rStyle w:val="FootnoteReference"/>
        </w:rPr>
        <w:footnoteRef/>
      </w:r>
      <w:r>
        <w:t xml:space="preserve">
          <w:r>
            <w:t xml:space="preserve">
              <w:r>
                <w:t xml:space="preserve"> Or “worship”</w:t>
              </w:r>
            </w:t>
          </w:r>
        </w:t>
      </w:r>
    </w:p>
  </w:footnote>
  <w:footnote w:id="21222">
    <w:p>
      <w:pPr>
        <w:pStyle w:val="FootnoteText"/>
      </w:pPr>
      <w:r>
        <w:rPr>
          <w:rStyle w:val="FootnoteReference"/>
        </w:rPr>
        <w:footnoteRef/>
      </w:r>
      <w:r>
        <w:t xml:space="preserve">
          <w:r>
            <w:t xml:space="preserve">
              <w:r>
                <w:t xml:space="preserve"> Or “worshiped them”</w:t>
              </w:r>
            </w:t>
          </w:r>
        </w:t>
      </w:r>
    </w:p>
  </w:footnote>
  <w:footnote w:id="24147">
    <w:p>
      <w:pPr>
        <w:pStyle w:val="FootnoteText"/>
      </w:pPr>
      <w:r>
        <w:rPr>
          <w:rStyle w:val="FootnoteReference"/>
        </w:rPr>
        <w:footnoteRef/>
      </w:r>
      <w:r>
        <w:t xml:space="preserve">
          <w:r>
            <w:t xml:space="preserve">
              <w:r>
                <w:t xml:space="preserve"> Or “worship”</w:t>
              </w:r>
            </w:t>
          </w:r>
        </w:t>
      </w:r>
    </w:p>
  </w:footnote>
  <w:footnote w:id="23480">
    <w:p>
      <w:pPr>
        <w:pStyle w:val="FootnoteText"/>
      </w:pPr>
      <w:r>
        <w:rPr>
          <w:rStyle w:val="FootnoteReference"/>
        </w:rPr>
        <w:footnoteRef/>
      </w:r>
      <w:r>
        <w:t xml:space="preserve">
          <w:r>
            <w:t xml:space="preserve">
              <w:r>
                <w:t xml:space="preserve"> Heb. “sons of Israel”</w:t>
              </w:r>
            </w:t>
          </w:r>
        </w:t>
      </w:r>
    </w:p>
  </w:footnote>
  <w:footnote w:id="29976">
    <w:p>
      <w:pPr>
        <w:pStyle w:val="FootnoteText"/>
      </w:pPr>
      <w:r>
        <w:rPr>
          <w:rStyle w:val="FootnoteReference"/>
        </w:rPr>
        <w:footnoteRef/>
      </w:r>
      <w:r>
        <w:t xml:space="preserve">
          <w:r>
            <w:t xml:space="preserve">
              <w:r>
                <w:t xml:space="preserve"> Qumran manuscript reading. MT has “O nations, with his people”</w:t>
              </w:r>
            </w:t>
          </w:r>
        </w:t>
      </w:r>
    </w:p>
  </w:footnote>
  <w:footnote w:id="29715">
    <w:p>
      <w:pPr>
        <w:pStyle w:val="FootnoteText"/>
      </w:pPr>
      <w:r>
        <w:rPr>
          <w:rStyle w:val="FootnoteReference"/>
        </w:rPr>
        <w:footnoteRef/>
      </w:r>
      <w:r>
        <w:t xml:space="preserve">
          <w:r>
            <w:t xml:space="preserve">
              <w:r>
                <w:t xml:space="preserve"> This phrase is from the LXX and the Qumran texts.</w:t>
              </w:r>
            </w:t>
          </w:r>
        </w:t>
      </w:r>
    </w:p>
  </w:footnote>
  <w:footnote w:id="32114">
    <w:p>
      <w:pPr>
        <w:pStyle w:val="FootnoteText"/>
      </w:pPr>
      <w:r>
        <w:rPr>
          <w:rStyle w:val="FootnoteReference"/>
        </w:rPr>
        <w:footnoteRef/>
      </w:r>
      <w:r>
        <w:t xml:space="preserve">
          <w:r>
            <w:t xml:space="preserve">
              <w:r>
                <w:t xml:space="preserve"> This is Joshua.</w:t>
              </w:r>
            </w:t>
          </w:r>
        </w:t>
      </w:r>
    </w:p>
  </w:footnote>
  <w:footnote w:id="15083">
    <w:p>
      <w:pPr>
        <w:pStyle w:val="FootnoteText"/>
      </w:pPr>
      <w:r>
        <w:rPr>
          <w:rStyle w:val="FootnoteReference"/>
        </w:rPr>
        <w:footnoteRef/>
      </w:r>
      <w:r>
        <w:t xml:space="preserve">
          <w:r>
            <w:t xml:space="preserve">
              <w:r>
                <w:t xml:space="preserve"> Or “months”</w:t>
              </w:r>
            </w:t>
          </w:r>
        </w:t>
      </w:r>
    </w:p>
  </w:footnote>
  <w:footnote w:id="10612">
    <w:p>
      <w:pPr>
        <w:pStyle w:val="FootnoteText"/>
      </w:pPr>
      <w:r>
        <w:rPr>
          <w:rStyle w:val="FootnoteReference"/>
        </w:rPr>
        <w:footnoteRef/>
      </w:r>
      <w:r>
        <w:t xml:space="preserve">
          <w:r>
            <w:t xml:space="preserve">
              <w:r>
                <w:t xml:space="preserve"> Or “west”</w:t>
              </w:r>
            </w:t>
          </w:r>
        </w:t>
      </w:r>
    </w:p>
  </w:footnote>
  <w:footnote w:id="11177">
    <w:p>
      <w:pPr>
        <w:pStyle w:val="FootnoteText"/>
      </w:pPr>
      <w:r>
        <w:rPr>
          <w:rStyle w:val="FootnoteReference"/>
        </w:rPr>
        <w:footnoteRef/>
      </w:r>
      <w:r>
        <w:t xml:space="preserve">
          <w:r>
            <w:t xml:space="preserve">
              <w:r>
                <w:t xml:space="preserve"> Or “shrines”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704592">
    <w:multiLevelType w:val="hybridMultilevel"/>
    <w:lvl w:ilvl="0" w:tplc="75257165">
      <w:start w:val="1"/>
      <w:numFmt w:val="decimal"/>
      <w:lvlText w:val="%1."/>
      <w:lvlJc w:val="left"/>
      <w:pPr>
        <w:ind w:left="720" w:hanging="360"/>
      </w:pPr>
    </w:lvl>
    <w:lvl w:ilvl="1" w:tplc="75257165" w:tentative="1">
      <w:start w:val="1"/>
      <w:numFmt w:val="lowerLetter"/>
      <w:lvlText w:val="%2."/>
      <w:lvlJc w:val="left"/>
      <w:pPr>
        <w:ind w:left="1440" w:hanging="360"/>
      </w:pPr>
    </w:lvl>
    <w:lvl w:ilvl="2" w:tplc="75257165" w:tentative="1">
      <w:start w:val="1"/>
      <w:numFmt w:val="lowerRoman"/>
      <w:lvlText w:val="%3."/>
      <w:lvlJc w:val="right"/>
      <w:pPr>
        <w:ind w:left="2160" w:hanging="180"/>
      </w:pPr>
    </w:lvl>
    <w:lvl w:ilvl="3" w:tplc="75257165" w:tentative="1">
      <w:start w:val="1"/>
      <w:numFmt w:val="decimal"/>
      <w:lvlText w:val="%4."/>
      <w:lvlJc w:val="left"/>
      <w:pPr>
        <w:ind w:left="2880" w:hanging="360"/>
      </w:pPr>
    </w:lvl>
    <w:lvl w:ilvl="4" w:tplc="75257165" w:tentative="1">
      <w:start w:val="1"/>
      <w:numFmt w:val="lowerLetter"/>
      <w:lvlText w:val="%5."/>
      <w:lvlJc w:val="left"/>
      <w:pPr>
        <w:ind w:left="3600" w:hanging="360"/>
      </w:pPr>
    </w:lvl>
    <w:lvl w:ilvl="5" w:tplc="75257165" w:tentative="1">
      <w:start w:val="1"/>
      <w:numFmt w:val="lowerRoman"/>
      <w:lvlText w:val="%6."/>
      <w:lvlJc w:val="right"/>
      <w:pPr>
        <w:ind w:left="4320" w:hanging="180"/>
      </w:pPr>
    </w:lvl>
    <w:lvl w:ilvl="6" w:tplc="75257165" w:tentative="1">
      <w:start w:val="1"/>
      <w:numFmt w:val="decimal"/>
      <w:lvlText w:val="%7."/>
      <w:lvlJc w:val="left"/>
      <w:pPr>
        <w:ind w:left="5040" w:hanging="360"/>
      </w:pPr>
    </w:lvl>
    <w:lvl w:ilvl="7" w:tplc="75257165" w:tentative="1">
      <w:start w:val="1"/>
      <w:numFmt w:val="lowerLetter"/>
      <w:lvlText w:val="%8."/>
      <w:lvlJc w:val="left"/>
      <w:pPr>
        <w:ind w:left="5760" w:hanging="360"/>
      </w:pPr>
    </w:lvl>
    <w:lvl w:ilvl="8" w:tplc="75257165" w:tentative="1">
      <w:start w:val="1"/>
      <w:numFmt w:val="lowerRoman"/>
      <w:lvlText w:val="%9."/>
      <w:lvlJc w:val="right"/>
      <w:pPr>
        <w:ind w:left="6480" w:hanging="180"/>
      </w:pPr>
    </w:lvl>
  </w:abstractNum>
  <w:abstractNum w:abstractNumId="6035">
    <w:multiLevelType w:val="hybridMultilevel"/>
    <w:lvl w:ilvl="0" w:tplc="437677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035">
    <w:abstractNumId w:val="6035"/>
  </w:num>
  <w:num w:numId="45704592">
    <w:abstractNumId w:val="457045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1939712" Type="http://schemas.openxmlformats.org/officeDocument/2006/relationships/numbering" Target="numbering.xml"/><Relationship Id="rId826818139" Type="http://schemas.openxmlformats.org/officeDocument/2006/relationships/comments" Target="comments.xml"/><Relationship Id="rId53386862ad31e11a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