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w:t>
      </w:r>
      <w:r>
        <w:rPr>
          <w:i/>
          <w:iCs/>
        </w:rPr>
        <w:t xml:space="preserve">elohim</w:t>
      </w:r>
      <w:r>
        <w:rPr/>
        <w:t xml:space="preserve">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FootnoteReference"/>
        </w:rPr>
        <w:footnoteReference w:id="14001"/>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FootnoteReference"/>
        </w:rPr>
        <w:footnoteReference w:id="12429"/>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FootnoteReference"/>
        </w:rPr>
        <w:footnoteReference w:id="14969"/>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FootnoteReference"/>
        </w:rPr>
        <w:footnoteReference w:id="24782"/>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FootnoteReference"/>
        </w:rPr>
        <w:footnoteReference w:id="13201"/>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Word Study: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FootnoteReference"/>
        </w:rPr>
        <w:footnoteReference w:id="26308"/>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FootnoteReference"/>
        </w:rPr>
        <w:footnoteReference w:id="20435"/>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FootnoteReference"/>
        </w:rPr>
        <w:footnoteReference w:id="19409"/>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FootnoteReference"/>
        </w:rPr>
        <w:footnoteReference w:id="24495"/>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FootnoteReference"/>
        </w:rPr>
        <w:footnoteReference w:id="25415"/>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FootnoteReference"/>
        </w:rPr>
        <w:footnoteReference w:id="21877"/>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FootnoteReference"/>
        </w:rPr>
        <w:footnoteReference w:id="15809"/>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the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80136862ad511a1f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615051"/>
      <w:docPartObj>
        <w:docPartGallery w:val="Page Numbers (Bottom of Page)"/>
        <w:docPartUnique/>
      </w:docPartObj>
    </w:sdtPr>
    <w:sdtContent>
      <w:sdt>
        <w:sdtPr>
          <w:id w:val="9257718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001">
    <w:p>
      <w:pPr>
        <w:pStyle w:val="FootnoteText"/>
      </w:pPr>
      <w:r>
        <w:rPr>
          <w:rStyle w:val="FootnoteReference"/>
        </w:rPr>
        <w:footnoteRef/>
      </w:r>
      <w:r>
        <w:t xml:space="preserve">
          <w:r>
            <w:t xml:space="preserve">
              <w:r>
                <w:t xml:space="preserve"> Isadore Singer, ed., </w:t>
              </w:r>
              <w:r>
                <w:rPr>
                  <w:i/>
                </w:rPr>
                <w:t xml:space="preserve">Jewish Encyclopedia</w:t>
              </w:r>
              <w:r>
                <w:t xml:space="preserve">, s.v. “Chemosh” by Morris Jastrow and George A. Barton.</w:t>
              </w:r>
            </w:t>
          </w:r>
        </w:t>
      </w:r>
    </w:p>
  </w:footnote>
  <w:footnote w:id="12429">
    <w:p>
      <w:pPr>
        <w:pStyle w:val="FootnoteText"/>
      </w:pPr>
      <w:r>
        <w:rPr>
          <w:rStyle w:val="FootnoteReference"/>
        </w:rPr>
        <w:footnoteRef/>
      </w:r>
      <w:r>
        <w:t xml:space="preserve">
          <w:r>
            <w:t xml:space="preserve">
              <w:r>
                <w:t xml:space="preserve"> Frederic W. Bush, </w:t>
              </w:r>
              <w:r>
                <w:rPr>
                  <w:i/>
                </w:rPr>
                <w:t xml:space="preserve">Ruth and Esther</w:t>
              </w:r>
              <w:r>
                <w:t xml:space="preserve"> [WBC].</w:t>
              </w:r>
            </w:t>
          </w:r>
        </w:t>
      </w:r>
    </w:p>
  </w:footnote>
  <w:footnote w:id="14969">
    <w:p>
      <w:pPr>
        <w:pStyle w:val="FootnoteText"/>
      </w:pPr>
      <w:r>
        <w:rPr>
          <w:rStyle w:val="FootnoteReference"/>
        </w:rPr>
        <w:footnoteRef/>
      </w:r>
      <w:r>
        <w:t xml:space="preserve">
          <w:r>
            <w:t xml:space="preserve">
              <w:r>
                <w:t xml:space="preserve"> Daniel I. Block, </w:t>
              </w:r>
              <w:r>
                <w:rPr>
                  <w:i/>
                </w:rPr>
                <w:t xml:space="preserve">Judges, Ruth</w:t>
              </w:r>
              <w:r>
                <w:t xml:space="preserve"> [NAC], 657-58.</w:t>
              </w:r>
            </w:t>
          </w:r>
        </w:t>
      </w:r>
    </w:p>
  </w:footnote>
  <w:footnote w:id="24782">
    <w:p>
      <w:pPr>
        <w:pStyle w:val="FootnoteText"/>
      </w:pPr>
      <w:r>
        <w:rPr>
          <w:rStyle w:val="FootnoteReference"/>
        </w:rPr>
        <w:footnoteRef/>
      </w:r>
      <w:r>
        <w:t xml:space="preserve">
          <w:r>
            <w:t xml:space="preserve">
              <w:r>
                <w:t xml:space="preserve"> Frederic Bush, </w:t>
              </w:r>
              <w:r>
                <w:rPr>
                  <w:i/>
                </w:rPr>
                <w:t xml:space="preserve">Ruth and Esther</w:t>
              </w:r>
              <w:r>
                <w:t xml:space="preserve"> [WBC], 119.</w:t>
              </w:r>
            </w:t>
          </w:r>
        </w:t>
      </w:r>
    </w:p>
  </w:footnote>
  <w:footnote w:id="13201">
    <w:p>
      <w:pPr>
        <w:pStyle w:val="FootnoteText"/>
      </w:pPr>
      <w:r>
        <w:rPr>
          <w:rStyle w:val="FootnoteReference"/>
        </w:rPr>
        <w:footnoteRef/>
      </w:r>
      <w:r>
        <w:t xml:space="preserve">
          <w:r>
            <w:t xml:space="preserve">
              <w:r>
                <w:t xml:space="preserve"> Daniel I. Block, </w:t>
              </w:r>
              <w:r>
                <w:rPr>
                  <w:i/>
                </w:rPr>
                <w:t xml:space="preserve">Judges, Ruth</w:t>
              </w:r>
              <w:r>
                <w:t xml:space="preserve"> [NAC], 660.</w:t>
              </w:r>
            </w:t>
          </w:r>
        </w:t>
      </w:r>
    </w:p>
  </w:footnote>
  <w:footnote w:id="26308">
    <w:p>
      <w:pPr>
        <w:pStyle w:val="FootnoteText"/>
      </w:pPr>
      <w:r>
        <w:rPr>
          <w:rStyle w:val="FootnoteReference"/>
        </w:rPr>
        <w:footnoteRef/>
      </w:r>
      <w:r>
        <w:t xml:space="preserve">
          <w:r>
            <w:t xml:space="preserve">
              <w:r>
                <w:t xml:space="preserve"> Willem VanGemeren, </w:t>
              </w:r>
              <w:r>
                <w:rPr>
                  <w:i/>
                </w:rPr>
                <w:t xml:space="preserve">New International Dictionary of Old Testament Theology and Exegesis</w:t>
              </w:r>
              <w:r>
                <w:t xml:space="preserve">, 2:211.</w:t>
              </w:r>
            </w:t>
          </w:r>
        </w:t>
      </w:r>
    </w:p>
  </w:footnote>
  <w:footnote w:id="20435">
    <w:p>
      <w:pPr>
        <w:pStyle w:val="FootnoteText"/>
      </w:pPr>
      <w:r>
        <w:rPr>
          <w:rStyle w:val="FootnoteReference"/>
        </w:rPr>
        <w:footnoteRef/>
      </w:r>
      <w:r>
        <w:t xml:space="preserve">
          <w:r>
            <w:t xml:space="preserve">
              <w:r>
                <w:t xml:space="preserve"> Daniel I. Block, </w:t>
              </w:r>
              <w:r>
                <w:rPr>
                  <w:i/>
                </w:rPr>
                <w:t xml:space="preserve">Ruth</w:t>
              </w:r>
              <w:r>
                <w:t xml:space="preserve"> [ZECOT], 147.</w:t>
              </w:r>
            </w:t>
          </w:r>
        </w:t>
      </w:r>
    </w:p>
  </w:footnote>
  <w:footnote w:id="19409">
    <w:p>
      <w:pPr>
        <w:pStyle w:val="FootnoteText"/>
      </w:pPr>
      <w:r>
        <w:rPr>
          <w:rStyle w:val="FootnoteReference"/>
        </w:rPr>
        <w:footnoteRef/>
      </w:r>
      <w:r>
        <w:t xml:space="preserve">
          <w:r>
            <w:t xml:space="preserve">
              <w:r>
                <w:t xml:space="preserve"> Jeremy Schipper, </w:t>
              </w:r>
              <w:r>
                <w:rPr>
                  <w:i/>
                </w:rPr>
                <w:t xml:space="preserve">Ruth</w:t>
              </w:r>
              <w:r>
                <w:t xml:space="preserve"> [AB], 143-44.</w:t>
              </w:r>
            </w:t>
          </w:r>
        </w:t>
      </w:r>
    </w:p>
  </w:footnote>
  <w:footnote w:id="24495">
    <w:p>
      <w:pPr>
        <w:pStyle w:val="FootnoteText"/>
      </w:pPr>
      <w:r>
        <w:rPr>
          <w:rStyle w:val="FootnoteReference"/>
        </w:rPr>
        <w:footnoteRef/>
      </w:r>
      <w:r>
        <w:t xml:space="preserve">
          <w:r>
            <w:t xml:space="preserve">
              <w:r>
                <w:t xml:space="preserve"> Daniel I. Block, </w:t>
              </w:r>
              <w:r>
                <w:rPr>
                  <w:i/>
                </w:rPr>
                <w:t xml:space="preserve">Ruth</w:t>
              </w:r>
              <w:r>
                <w:t xml:space="preserve"> [ZECOT], Ruth 3:3b-4g.</w:t>
              </w:r>
            </w:t>
          </w:r>
        </w:t>
      </w:r>
    </w:p>
  </w:footnote>
  <w:footnote w:id="25415">
    <w:p>
      <w:pPr>
        <w:pStyle w:val="FootnoteText"/>
      </w:pPr>
      <w:r>
        <w:rPr>
          <w:rStyle w:val="FootnoteReference"/>
        </w:rPr>
        <w:footnoteRef/>
      </w:r>
      <w:r>
        <w:t xml:space="preserve">
          <w:r>
            <w:t xml:space="preserve">
              <w:r>
                <w:t xml:space="preserve"> See Robert L. Hubbard, </w:t>
              </w:r>
              <w:r>
                <w:rPr>
                  <w:i/>
                </w:rPr>
                <w:t xml:space="preserve">The Book of Ruth</w:t>
              </w:r>
              <w:r>
                <w:t xml:space="preserve"> [NICOT].</w:t>
              </w:r>
            </w:t>
          </w:r>
        </w:t>
      </w:r>
    </w:p>
  </w:footnote>
  <w:footnote w:id="21877">
    <w:p>
      <w:pPr>
        <w:pStyle w:val="FootnoteText"/>
      </w:pPr>
      <w:r>
        <w:rPr>
          <w:rStyle w:val="FootnoteReference"/>
        </w:rPr>
        <w:footnoteRef/>
      </w:r>
      <w:r>
        <w:t xml:space="preserve">
          <w:r>
            <w:t xml:space="preserve">
              <w:r>
                <w:t xml:space="preserve"> Robert Hubbard, </w:t>
              </w:r>
              <w:r>
                <w:rPr>
                  <w:i/>
                </w:rPr>
                <w:t xml:space="preserve">The Book of Ruth</w:t>
              </w:r>
              <w:r>
                <w:t xml:space="preserve"> [NICOT], 258.</w:t>
              </w:r>
            </w:t>
          </w:r>
        </w:t>
      </w:r>
    </w:p>
  </w:footnote>
  <w:footnote w:id="15809">
    <w:p>
      <w:pPr>
        <w:pStyle w:val="FootnoteText"/>
      </w:pPr>
      <w:r>
        <w:rPr>
          <w:rStyle w:val="FootnoteReference"/>
        </w:rPr>
        <w:footnoteRef/>
      </w:r>
      <w:r>
        <w:t xml:space="preserve">
          <w:r>
            <w:t xml:space="preserve">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257094">
    <w:multiLevelType w:val="hybridMultilevel"/>
    <w:lvl w:ilvl="0" w:tplc="59045002">
      <w:start w:val="1"/>
      <w:numFmt w:val="decimal"/>
      <w:lvlText w:val="%1."/>
      <w:lvlJc w:val="left"/>
      <w:pPr>
        <w:ind w:left="720" w:hanging="360"/>
      </w:pPr>
    </w:lvl>
    <w:lvl w:ilvl="1" w:tplc="59045002" w:tentative="1">
      <w:start w:val="1"/>
      <w:numFmt w:val="lowerLetter"/>
      <w:lvlText w:val="%2."/>
      <w:lvlJc w:val="left"/>
      <w:pPr>
        <w:ind w:left="1440" w:hanging="360"/>
      </w:pPr>
    </w:lvl>
    <w:lvl w:ilvl="2" w:tplc="59045002" w:tentative="1">
      <w:start w:val="1"/>
      <w:numFmt w:val="lowerRoman"/>
      <w:lvlText w:val="%3."/>
      <w:lvlJc w:val="right"/>
      <w:pPr>
        <w:ind w:left="2160" w:hanging="180"/>
      </w:pPr>
    </w:lvl>
    <w:lvl w:ilvl="3" w:tplc="59045002" w:tentative="1">
      <w:start w:val="1"/>
      <w:numFmt w:val="decimal"/>
      <w:lvlText w:val="%4."/>
      <w:lvlJc w:val="left"/>
      <w:pPr>
        <w:ind w:left="2880" w:hanging="360"/>
      </w:pPr>
    </w:lvl>
    <w:lvl w:ilvl="4" w:tplc="59045002" w:tentative="1">
      <w:start w:val="1"/>
      <w:numFmt w:val="lowerLetter"/>
      <w:lvlText w:val="%5."/>
      <w:lvlJc w:val="left"/>
      <w:pPr>
        <w:ind w:left="3600" w:hanging="360"/>
      </w:pPr>
    </w:lvl>
    <w:lvl w:ilvl="5" w:tplc="59045002" w:tentative="1">
      <w:start w:val="1"/>
      <w:numFmt w:val="lowerRoman"/>
      <w:lvlText w:val="%6."/>
      <w:lvlJc w:val="right"/>
      <w:pPr>
        <w:ind w:left="4320" w:hanging="180"/>
      </w:pPr>
    </w:lvl>
    <w:lvl w:ilvl="6" w:tplc="59045002" w:tentative="1">
      <w:start w:val="1"/>
      <w:numFmt w:val="decimal"/>
      <w:lvlText w:val="%7."/>
      <w:lvlJc w:val="left"/>
      <w:pPr>
        <w:ind w:left="5040" w:hanging="360"/>
      </w:pPr>
    </w:lvl>
    <w:lvl w:ilvl="7" w:tplc="59045002" w:tentative="1">
      <w:start w:val="1"/>
      <w:numFmt w:val="lowerLetter"/>
      <w:lvlText w:val="%8."/>
      <w:lvlJc w:val="left"/>
      <w:pPr>
        <w:ind w:left="5760" w:hanging="360"/>
      </w:pPr>
    </w:lvl>
    <w:lvl w:ilvl="8" w:tplc="59045002" w:tentative="1">
      <w:start w:val="1"/>
      <w:numFmt w:val="lowerRoman"/>
      <w:lvlText w:val="%9."/>
      <w:lvlJc w:val="right"/>
      <w:pPr>
        <w:ind w:left="6480" w:hanging="180"/>
      </w:pPr>
    </w:lvl>
  </w:abstractNum>
  <w:abstractNum w:abstractNumId="27680">
    <w:multiLevelType w:val="hybridMultilevel"/>
    <w:lvl w:ilvl="0" w:tplc="544379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680">
    <w:abstractNumId w:val="27680"/>
  </w:num>
  <w:num w:numId="95257094">
    <w:abstractNumId w:val="952570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1071278" Type="http://schemas.openxmlformats.org/officeDocument/2006/relationships/numbering" Target="numbering.xml"/><Relationship Id="rId773080196" Type="http://schemas.openxmlformats.org/officeDocument/2006/relationships/comments" Target="comments.xml"/><Relationship Id="rId80136862ad511a1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