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11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FootnoteReference"/>
        </w:rPr>
        <w:footnoteReference w:id="24819"/>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FootnoteReference"/>
        </w:rPr>
        <w:footnoteReference w:id="27658"/>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FootnoteReference"/>
        </w:rPr>
        <w:footnoteReference w:id="20510"/>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FootnoteReference"/>
        </w:rPr>
        <w:footnoteReference w:id="27204"/>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FootnoteReference"/>
        </w:rPr>
        <w:footnoteReference w:id="25380"/>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FootnoteReference"/>
        </w:rPr>
        <w:footnoteReference w:id="24772"/>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(or “master” or “mentor”).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or “disciple”). Although the Bible does not describe the exact nature of the relationship between the Devil and his children, we know from the scope of Scripture that it is a spiritual relationship and an unbreakable bond and that Jesus referred to it as a sin that cannot be forgiven (cf.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 children of the Devil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so that much of what they do is illegal and they can be jailed or executed.</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FootnoteReference"/>
        </w:rPr>
        <w:footnoteReference w:id="25532"/>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 and He did the same for Moses (Exod. 34:5).</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(see commentary on Num. 7:89),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atonement-cover of the ark of the covenant. Exodus 25:22 says, “I [Yahweh] will meet with you there, from above the atonement-cover—from between the two cherubim that are on the ark of the testimony.” Numbers 7:89 then says that Yahweh spoke, and Moses, “heard Yahweh’s voice speaking to him from above the atonement-cover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 (see commentary on Num. 7:89).</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FootnoteReference"/>
        </w:rPr>
        <w:footnoteReference w:id="10988"/>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FootnoteReference"/>
        </w:rPr>
        <w:footnoteReference w:id="23159"/>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FootnoteReference"/>
        </w:rPr>
        <w:footnoteReference w:id="12997"/>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FootnoteReference"/>
        </w:rPr>
        <w:footnoteReference w:id="29355"/>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“for the people have a sacrifice today.”</w:t>
      </w:r>
      <w:r>
        <w:rPr/>
        <w:t xml:space="preserve"> There were likely several different types of sacrifices offered on the altar that day, but one of them would have had to have been the peace offering. The peace offering was the only Levitical sacrifice which people got to eat part of the meat of the sacrifice (cf. Lev. 7:15-16).</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although that was a normal way of expressing the event in Hebrew, it is misleading in English because Saul would not be actively searching for them. In Hebrew, “find” can mean “meet” or “encounter,” and that is what it means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FootnoteReference"/>
        </w:rPr>
        <w:footnoteReference w:id="26490"/>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FootnoteReference"/>
        </w:rPr>
        <w:footnoteReference w:id="30357"/>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FootnoteReference"/>
        </w:rPr>
        <w:footnoteReference w:id="16700"/>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FootnoteReference"/>
        </w:rPr>
        <w:footnoteReference w:id="10513"/>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FootnoteReference"/>
        </w:rPr>
        <w:footnoteReference w:id="13682"/>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“the people are sinning against Yahweh by eating with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FootnoteReference"/>
        </w:rPr>
        <w:footnoteReference w:id="18527"/>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Word Study: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FootnoteReference"/>
        </w:rPr>
        <w:footnoteReference w:id="12534"/>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FootnoteReference"/>
        </w:rPr>
        <w:footnoteReference w:id="12464"/>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FootnoteReference"/>
        </w:rPr>
        <w:footnoteReference w:id="13021"/>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FootnoteReference"/>
        </w:rPr>
        <w:footnoteReference w:id="11600"/>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FootnoteReference"/>
        </w:rPr>
        <w:footnoteReference w:id="24273"/>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FootnoteReference"/>
        </w:rPr>
        <w:footnoteReference w:id="22327"/>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deaths and the deaths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31699"/>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31699"/>
        </w:numPr>
        <w:spacing w:before="0" w:after="0" w:line="240" w:lineRule="auto"/>
        <w:rPr/>
      </w:pPr>
      <w:r>
        <w:rPr/>
        <w:t xml:space="preserve">Saul went to a medium to get answers (1 Sam. 28:7), which should alert us to the fact that what was happening is ungodly.</w:t>
      </w:r>
    </w:p>
    <w:p>
      <w:pPr>
        <w:numPr>
          <w:ilvl w:val="0"/>
          <w:numId w:val="31699"/>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31699"/>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31699"/>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31699"/>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31699"/>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31699"/>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FootnoteReference"/>
        </w:rPr>
        <w:footnoteReference w:id="29462"/>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Word Study: “Psuchē.” For more information on the abomination of witchcraft, necromancy, using mediums, and other similar “black arts,” see Deuteronomy 18:9-14 and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Word Study: “Psuchē.”]</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19316862ad515713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745001"/>
      <w:docPartObj>
        <w:docPartGallery w:val="Page Numbers (Bottom of Page)"/>
        <w:docPartUnique/>
      </w:docPartObj>
    </w:sdtPr>
    <w:sdtContent>
      <w:sdt>
        <w:sdtPr>
          <w:id w:val="4867797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819">
    <w:p>
      <w:pPr>
        <w:pStyle w:val="FootnoteText"/>
      </w:pPr>
      <w:r>
        <w:rPr>
          <w:rStyle w:val="FootnoteReference"/>
        </w:rPr>
        <w:footnoteRef/>
      </w:r>
      <w:r>
        <w:t xml:space="preserve">
          <w:r>
            <w:t xml:space="preserve">
              <w:r>
                <w:t xml:space="preserve"> Steinmann, </w:t>
              </w:r>
              <w:r>
                <w:rPr>
                  <w:i/>
                </w:rPr>
                <w:t xml:space="preserve">1 Samuel</w:t>
              </w:r>
              <w:r>
                <w:t xml:space="preserve">, [ConcC].</w:t>
              </w:r>
            </w:t>
          </w:r>
        </w:t>
      </w:r>
    </w:p>
  </w:footnote>
  <w:footnote w:id="27658">
    <w:p>
      <w:pPr>
        <w:pStyle w:val="FootnoteText"/>
      </w:pPr>
      <w:r>
        <w:rPr>
          <w:rStyle w:val="FootnoteReference"/>
        </w:rPr>
        <w:footnoteRef/>
      </w:r>
      <w:r>
        <w:t xml:space="preserve">
          <w:r>
            <w:t xml:space="preserve">
              <w:r>
                <w:t xml:space="preserve"> Wenham, The Book of Leviticus [NICOT], 78-79n12.</w:t>
              </w:r>
            </w:t>
          </w:r>
        </w:t>
      </w:r>
    </w:p>
  </w:footnote>
  <w:footnote w:id="20510">
    <w:p>
      <w:pPr>
        <w:pStyle w:val="FootnoteText"/>
      </w:pPr>
      <w:r>
        <w:rPr>
          <w:rStyle w:val="FootnoteReference"/>
        </w:rPr>
        <w:footnoteRef/>
      </w:r>
      <w:r>
        <w:t xml:space="preserve">
          <w:r>
            <w:t xml:space="preserve">
              <w:r>
                <w:t xml:space="preserve"> E. W. Bullinger has a number of biblical examples of the figure antanaclasis in his classic work, </w:t>
              </w:r>
              <w:r>
                <w:rPr>
                  <w:i/>
                </w:rPr>
                <w:t xml:space="preserve">Figures of Speech Used in the Bible</w:t>
              </w:r>
              <w:r>
                <w:t xml:space="preserve">, 286.</w:t>
              </w:r>
            </w:t>
          </w:r>
        </w:t>
      </w:r>
    </w:p>
  </w:footnote>
  <w:footnote w:id="27204">
    <w:p>
      <w:pPr>
        <w:pStyle w:val="FootnoteText"/>
      </w:pPr>
      <w:r>
        <w:rPr>
          <w:rStyle w:val="FootnoteReference"/>
        </w:rPr>
        <w:footnoteRef/>
      </w:r>
      <w:r>
        <w:t xml:space="preserve">
          <w:r>
            <w:t xml:space="preserve">
              <w:r>
                <w:t xml:space="preserve"> Keil and Delitzsch, </w:t>
              </w:r>
              <w:r>
                <w:rPr>
                  <w:i/>
                </w:rPr>
                <w:t xml:space="preserve">Biblical Commentary on the Books of Samuel</w:t>
              </w:r>
              <w:r>
                <w:t xml:space="preserve">, 9:32.</w:t>
              </w:r>
            </w:t>
          </w:r>
        </w:t>
      </w:r>
    </w:p>
  </w:footnote>
  <w:footnote w:id="25380">
    <w:p>
      <w:pPr>
        <w:pStyle w:val="FootnoteText"/>
      </w:pPr>
      <w:r>
        <w:rPr>
          <w:rStyle w:val="FootnoteReference"/>
        </w:rPr>
        <w:footnoteRef/>
      </w:r>
      <w:r>
        <w:t xml:space="preserve">
          <w:r>
            <w:t xml:space="preserve">
              <w:r>
                <w:t xml:space="preserve"> Willem VanGemeren, </w:t>
              </w:r>
              <w:r>
                <w:rPr>
                  <w:i/>
                </w:rPr>
                <w:t xml:space="preserve">Dictionary of Old Testament Theology and Exegesis</w:t>
              </w:r>
              <w:r>
                <w:t xml:space="preserve">, 662.</w:t>
              </w:r>
            </w:t>
          </w:r>
        </w:t>
      </w:r>
    </w:p>
  </w:footnote>
  <w:footnote w:id="24772">
    <w:p>
      <w:pPr>
        <w:pStyle w:val="FootnoteText"/>
      </w:pPr>
      <w:r>
        <w:rPr>
          <w:rStyle w:val="FootnoteReference"/>
        </w:rPr>
        <w:footnoteRef/>
      </w:r>
      <w:r>
        <w:t xml:space="preserve">
          <w:r>
            <w:t xml:space="preserve">
              <w:r>
                <w:t xml:space="preserve"> J. Botterweck and H. Ringgren, </w:t>
              </w:r>
              <w:r>
                <w:rPr>
                  <w:i/>
                </w:rPr>
                <w:t xml:space="preserve">Theological Dictionary of the Old Testament</w:t>
              </w:r>
              <w:r>
                <w:t xml:space="preserve">, 2:131-36.</w:t>
              </w:r>
            </w:t>
          </w:r>
        </w:t>
      </w:r>
    </w:p>
  </w:footnote>
  <w:footnote w:id="25532">
    <w:p>
      <w:pPr>
        <w:pStyle w:val="FootnoteText"/>
      </w:pPr>
      <w:r>
        <w:rPr>
          <w:rStyle w:val="FootnoteReference"/>
        </w:rPr>
        <w:footnoteRef/>
      </w:r>
      <w:r>
        <w:t xml:space="preserve">
          <w:r>
            <w:t xml:space="preserve">
              <w:r>
                <w:t xml:space="preserve"> Adam Clarke, </w:t>
              </w:r>
              <w:r>
                <w:rPr>
                  <w:i/>
                </w:rPr>
                <w:t xml:space="preserve">Clarke’s Commentary</w:t>
              </w:r>
              <w:r>
                <w:t xml:space="preserve">, see note on 1 Sam. 2:25.</w:t>
              </w:r>
            </w:t>
          </w:r>
        </w:t>
      </w:r>
    </w:p>
  </w:footnote>
  <w:footnote w:id="10988">
    <w:p>
      <w:pPr>
        <w:pStyle w:val="FootnoteText"/>
      </w:pPr>
      <w:r>
        <w:rPr>
          <w:rStyle w:val="FootnoteReference"/>
        </w:rPr>
        <w:footnoteRef/>
      </w:r>
      <w:r>
        <w:t xml:space="preserve">
          <w:r>
            <w:t xml:space="preserve">
              <w:r>
                <w:t xml:space="preserve"> Cf. Brown-Driver-Briggs </w:t>
              </w:r>
              <w:r>
                <w:rPr>
                  <w:i/>
                </w:rPr>
                <w:t xml:space="preserve">Hebrew and English Lexicon</w:t>
              </w:r>
              <w:r>
                <w:t xml:space="preserve">.</w:t>
              </w:r>
            </w:t>
          </w:r>
        </w:t>
      </w:r>
    </w:p>
  </w:footnote>
  <w:footnote w:id="23159">
    <w:p>
      <w:pPr>
        <w:pStyle w:val="FootnoteText"/>
      </w:pPr>
      <w:r>
        <w:rPr>
          <w:rStyle w:val="FootnoteReference"/>
        </w:rPr>
        <w:footnoteRef/>
      </w:r>
      <w:r>
        <w:t xml:space="preserve">
          <w:r>
            <w:t xml:space="preserve">
              <w:r>
                <w:t xml:space="preserve"> Cf. Wikipedia, “Dagon,” https://en.wikipedia.org/wiki/Dagon.</w:t>
              </w:r>
            </w:t>
          </w:r>
        </w:t>
      </w:r>
    </w:p>
  </w:footnote>
  <w:footnote w:id="12997">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871, “anthropopatheia.”</w:t>
              </w:r>
            </w:t>
          </w:r>
        </w:t>
      </w:r>
    </w:p>
  </w:footnote>
  <w:footnote w:id="29355">
    <w:p>
      <w:pPr>
        <w:pStyle w:val="FootnoteText"/>
      </w:pPr>
      <w:r>
        <w:rPr>
          <w:rStyle w:val="FootnoteReference"/>
        </w:rPr>
        <w:footnoteRef/>
      </w:r>
      <w:r>
        <w:t xml:space="preserve">
          <w:r>
            <w:t xml:space="preserve">
              <w:r>
                <w:t xml:space="preserve"> David Tsumura, </w:t>
              </w:r>
              <w:r>
                <w:rPr>
                  <w:i/>
                </w:rPr>
                <w:t xml:space="preserve">The First Book of Samuel</w:t>
              </w:r>
              <w:r>
                <w:t xml:space="preserve"> [NICOT], 266.</w:t>
              </w:r>
            </w:t>
          </w:r>
        </w:t>
      </w:r>
    </w:p>
  </w:footnote>
  <w:footnote w:id="26490">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“Skin and Leather Bottles,” Kindle.</w:t>
              </w:r>
            </w:t>
          </w:r>
        </w:t>
      </w:r>
    </w:p>
  </w:footnote>
  <w:footnote w:id="30357">
    <w:p>
      <w:pPr>
        <w:pStyle w:val="FootnoteText"/>
      </w:pPr>
      <w:r>
        <w:rPr>
          <w:rStyle w:val="FootnoteReference"/>
        </w:rPr>
        <w:footnoteRef/>
      </w:r>
      <w:r>
        <w:t xml:space="preserve">
          <w:r>
            <w:t xml:space="preserve">
              <w:r>
                <w:t xml:space="preserve"> J. Freeman, </w:t>
              </w:r>
              <w:r>
                <w:rPr>
                  <w:i/>
                </w:rPr>
                <w:t xml:space="preserve">Manners and Customs of the Bible</w:t>
              </w:r>
              <w:r>
                <w:t xml:space="preserve">, “Skin Bottles,” 354, para. 651.</w:t>
              </w:r>
            </w:t>
          </w:r>
        </w:t>
      </w:r>
    </w:p>
  </w:footnote>
  <w:footnote w:id="16700">
    <w:p>
      <w:pPr>
        <w:pStyle w:val="FootnoteText"/>
      </w:pPr>
      <w:r>
        <w:rPr>
          <w:rStyle w:val="FootnoteReference"/>
        </w:rPr>
        <w:footnoteRef/>
      </w:r>
      <w:r>
        <w:t xml:space="preserve">
          <w:r>
            <w:t xml:space="preserve">
              <w:r>
                <w:t xml:space="preserve"> David Toshio Tsumura, </w:t>
              </w:r>
              <w:r>
                <w:rPr>
                  <w:i/>
                </w:rPr>
                <w:t xml:space="preserve">The First Book of Samuel</w:t>
              </w:r>
              <w:r>
                <w:t xml:space="preserve"> [NICOT], 297.</w:t>
              </w:r>
            </w:t>
          </w:r>
        </w:t>
      </w:r>
    </w:p>
  </w:footnote>
  <w:footnote w:id="10513">
    <w:p>
      <w:pPr>
        <w:pStyle w:val="FootnoteText"/>
      </w:pPr>
      <w:r>
        <w:rPr>
          <w:rStyle w:val="FootnoteReference"/>
        </w:rPr>
        <w:footnoteRef/>
      </w:r>
      <w:r>
        <w:t xml:space="preserve">
          <w:r>
            <w:t xml:space="preserve">
              <w:r>
                <w:t xml:space="preserve"> Robert Bergen, </w:t>
              </w:r>
              <w:r>
                <w:rPr>
                  <w:i/>
                </w:rPr>
                <w:t xml:space="preserve">1st and 2nd Samuel</w:t>
              </w:r>
              <w:r>
                <w:t xml:space="preserve"> [NAC], 150.</w:t>
              </w:r>
            </w:t>
          </w:r>
        </w:t>
      </w:r>
    </w:p>
  </w:footnote>
  <w:footnote w:id="13682">
    <w:p>
      <w:pPr>
        <w:pStyle w:val="FootnoteText"/>
      </w:pPr>
      <w:r>
        <w:rPr>
          <w:rStyle w:val="FootnoteReference"/>
        </w:rPr>
        <w:footnoteRef/>
      </w:r>
      <w:r>
        <w:t xml:space="preserve">
          <w:r>
            <w:t xml:space="preserve">
              <w:r>
                <w:t xml:space="preserve"> Tsumura, </w:t>
              </w:r>
              <w:r>
                <w:rPr>
                  <w:i/>
                </w:rPr>
                <w:t xml:space="preserve">The First Book of Samuel</w:t>
              </w:r>
              <w:r>
                <w:t xml:space="preserve"> [NICOT].</w:t>
              </w:r>
            </w:t>
          </w:r>
        </w:t>
      </w:r>
    </w:p>
  </w:footnote>
  <w:footnote w:id="18527">
    <w:p>
      <w:pPr>
        <w:pStyle w:val="FootnoteText"/>
      </w:pPr>
      <w:r>
        <w:rPr>
          <w:rStyle w:val="FootnoteReference"/>
        </w:rPr>
        <w:footnoteRef/>
      </w:r>
      <w:r>
        <w:t xml:space="preserve">
          <w:r>
            <w:t xml:space="preserve">
              <w:r>
                <w:t xml:space="preserve"> Cf. D. Tsumura, </w:t>
              </w:r>
              <w:r>
                <w:rPr>
                  <w:i/>
                </w:rPr>
                <w:t xml:space="preserve">The First Book of Samuel</w:t>
              </w:r>
              <w:r>
                <w:t xml:space="preserve"> [NICOT], 382, n108.</w:t>
              </w:r>
            </w:t>
          </w:r>
        </w:t>
      </w:r>
    </w:p>
  </w:footnote>
  <w:footnote w:id="12534">
    <w:p>
      <w:pPr>
        <w:pStyle w:val="FootnoteText"/>
      </w:pPr>
      <w:r>
        <w:rPr>
          <w:rStyle w:val="FootnoteReference"/>
        </w:rPr>
        <w:footnoteRef/>
      </w:r>
      <w:r>
        <w:t xml:space="preserve">
          <w:r>
            <w:t xml:space="preserve">
              <w:r>
                <w:t xml:space="preserve"> Cf. E. Fox, </w:t>
              </w:r>
              <w:r>
                <w:rPr>
                  <w:i/>
                </w:rPr>
                <w:t xml:space="preserve">The Schocken Bible</w:t>
              </w:r>
              <w:r>
                <w:t xml:space="preserve">; David Tsumura, </w:t>
              </w:r>
              <w:r>
                <w:rPr>
                  <w:i/>
                </w:rPr>
                <w:t xml:space="preserve">The First Book of Samuel</w:t>
              </w:r>
              <w:r>
                <w:t xml:space="preserve"> [NICOT], 446.</w:t>
              </w:r>
            </w:t>
          </w:r>
        </w:t>
      </w:r>
    </w:p>
  </w:footnote>
  <w:footnote w:id="12464">
    <w:p>
      <w:pPr>
        <w:pStyle w:val="FootnoteText"/>
      </w:pPr>
      <w:r>
        <w:rPr>
          <w:rStyle w:val="FootnoteReference"/>
        </w:rPr>
        <w:footnoteRef/>
      </w:r>
      <w:r>
        <w:t xml:space="preserve">
          <w:r>
            <w:t xml:space="preserve">
              <w:r>
                <w:t xml:space="preserve"> John Walton, Victor Matthews, Mark Cavalas, </w:t>
              </w:r>
              <w:r>
                <w:rPr>
                  <w:i/>
                </w:rPr>
                <w:t xml:space="preserve">IVP Bible Background Commentary: Old Testament</w:t>
              </w:r>
              <w:r>
                <w:t xml:space="preserve">, 309.</w:t>
              </w:r>
            </w:t>
          </w:r>
        </w:t>
      </w:r>
    </w:p>
  </w:footnote>
  <w:footnote w:id="13021">
    <w:p>
      <w:pPr>
        <w:pStyle w:val="FootnoteText"/>
      </w:pPr>
      <w:r>
        <w:rPr>
          <w:rStyle w:val="FootnoteReference"/>
        </w:rPr>
        <w:footnoteRef/>
      </w:r>
      <w:r>
        <w:t xml:space="preserve">
          <w:r>
            <w:t xml:space="preserve">
              <w:r>
                <w:t xml:space="preserve"> Cf. Robert Alter, </w:t>
              </w:r>
              <w:r>
                <w:rPr>
                  <w:i/>
                </w:rPr>
                <w:t xml:space="preserve">The Hebrew Bible</w:t>
              </w:r>
              <w:r>
                <w:t xml:space="preserve">.</w:t>
              </w:r>
            </w:t>
          </w:r>
        </w:t>
      </w:r>
    </w:p>
  </w:footnote>
  <w:footnote w:id="11600">
    <w:p>
      <w:pPr>
        <w:pStyle w:val="FootnoteText"/>
      </w:pPr>
      <w:r>
        <w:rPr>
          <w:rStyle w:val="FootnoteReference"/>
        </w:rPr>
        <w:footnoteRef/>
      </w:r>
      <w:r>
        <w:t xml:space="preserve">
          <w:r>
            <w:t xml:space="preserve">
              <w:r>
                <w:t xml:space="preserve"> Cf. A. Steinmann, </w:t>
              </w:r>
              <w:r>
                <w:rPr>
                  <w:i/>
                </w:rPr>
                <w:t xml:space="preserve">1 Samuel</w:t>
              </w:r>
              <w:r>
                <w:t xml:space="preserve"> [ConcC].</w:t>
              </w:r>
            </w:t>
          </w:r>
        </w:t>
      </w:r>
    </w:p>
  </w:footnote>
  <w:footnote w:id="24273">
    <w:p>
      <w:pPr>
        <w:pStyle w:val="FootnoteText"/>
      </w:pPr>
      <w:r>
        <w:rPr>
          <w:rStyle w:val="FootnoteReference"/>
        </w:rPr>
        <w:footnoteRef/>
      </w:r>
      <w:r>
        <w:t xml:space="preserve">
          <w:r>
            <w:t xml:space="preserve">
              <w:r>
                <w:t xml:space="preserve"> Cf. Hans Wilhelm Hertzberg,</w:t>
              </w:r>
              <w:r>
                <w:rPr>
                  <w:i/>
                </w:rPr>
                <w:t xml:space="preserve"> I and II Samuel</w:t>
              </w:r>
              <w:r>
                <w:t xml:space="preserve"> [OTL], 199.</w:t>
              </w:r>
            </w:t>
          </w:r>
        </w:t>
      </w:r>
    </w:p>
  </w:footnote>
  <w:footnote w:id="22327">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9462">
    <w:p>
      <w:pPr>
        <w:pStyle w:val="FootnoteText"/>
      </w:pPr>
      <w:r>
        <w:rPr>
          <w:rStyle w:val="FootnoteReference"/>
        </w:rPr>
        <w:footnoteRef/>
      </w:r>
      <w:r>
        <w:t xml:space="preserve">
          <w:r>
            <w:t xml:space="preserve">
              <w:r>
                <w:t xml:space="preserve"> A. Roberts and J. Donaldson, “A Treatise on the Soul” (Tertullian), </w:t>
              </w:r>
              <w:r>
                <w:rPr>
                  <w:i/>
                </w:rPr>
                <w:t xml:space="preserve">Ante-Nicene Fathers</w:t>
              </w:r>
              <w:r>
                <w:t xml:space="preserve">, chap. 57, 3:234.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541724">
    <w:multiLevelType w:val="hybridMultilevel"/>
    <w:lvl w:ilvl="0" w:tplc="82840181">
      <w:start w:val="1"/>
      <w:numFmt w:val="decimal"/>
      <w:lvlText w:val="%1."/>
      <w:lvlJc w:val="left"/>
      <w:pPr>
        <w:ind w:left="720" w:hanging="360"/>
      </w:pPr>
    </w:lvl>
    <w:lvl w:ilvl="1" w:tplc="82840181" w:tentative="1">
      <w:start w:val="1"/>
      <w:numFmt w:val="lowerLetter"/>
      <w:lvlText w:val="%2."/>
      <w:lvlJc w:val="left"/>
      <w:pPr>
        <w:ind w:left="1440" w:hanging="360"/>
      </w:pPr>
    </w:lvl>
    <w:lvl w:ilvl="2" w:tplc="82840181" w:tentative="1">
      <w:start w:val="1"/>
      <w:numFmt w:val="lowerRoman"/>
      <w:lvlText w:val="%3."/>
      <w:lvlJc w:val="right"/>
      <w:pPr>
        <w:ind w:left="2160" w:hanging="180"/>
      </w:pPr>
    </w:lvl>
    <w:lvl w:ilvl="3" w:tplc="82840181" w:tentative="1">
      <w:start w:val="1"/>
      <w:numFmt w:val="decimal"/>
      <w:lvlText w:val="%4."/>
      <w:lvlJc w:val="left"/>
      <w:pPr>
        <w:ind w:left="2880" w:hanging="360"/>
      </w:pPr>
    </w:lvl>
    <w:lvl w:ilvl="4" w:tplc="82840181" w:tentative="1">
      <w:start w:val="1"/>
      <w:numFmt w:val="lowerLetter"/>
      <w:lvlText w:val="%5."/>
      <w:lvlJc w:val="left"/>
      <w:pPr>
        <w:ind w:left="3600" w:hanging="360"/>
      </w:pPr>
    </w:lvl>
    <w:lvl w:ilvl="5" w:tplc="82840181" w:tentative="1">
      <w:start w:val="1"/>
      <w:numFmt w:val="lowerRoman"/>
      <w:lvlText w:val="%6."/>
      <w:lvlJc w:val="right"/>
      <w:pPr>
        <w:ind w:left="4320" w:hanging="180"/>
      </w:pPr>
    </w:lvl>
    <w:lvl w:ilvl="6" w:tplc="82840181" w:tentative="1">
      <w:start w:val="1"/>
      <w:numFmt w:val="decimal"/>
      <w:lvlText w:val="%7."/>
      <w:lvlJc w:val="left"/>
      <w:pPr>
        <w:ind w:left="5040" w:hanging="360"/>
      </w:pPr>
    </w:lvl>
    <w:lvl w:ilvl="7" w:tplc="82840181" w:tentative="1">
      <w:start w:val="1"/>
      <w:numFmt w:val="lowerLetter"/>
      <w:lvlText w:val="%8."/>
      <w:lvlJc w:val="left"/>
      <w:pPr>
        <w:ind w:left="5760" w:hanging="360"/>
      </w:pPr>
    </w:lvl>
    <w:lvl w:ilvl="8" w:tplc="82840181" w:tentative="1">
      <w:start w:val="1"/>
      <w:numFmt w:val="lowerRoman"/>
      <w:lvlText w:val="%9."/>
      <w:lvlJc w:val="right"/>
      <w:pPr>
        <w:ind w:left="6480" w:hanging="180"/>
      </w:pPr>
    </w:lvl>
  </w:abstractNum>
  <w:abstractNum w:abstractNumId="31699">
    <w:multiLevelType w:val="hybridMultilevel"/>
    <w:lvl w:ilvl="0" w:tplc="228661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699">
    <w:abstractNumId w:val="31699"/>
  </w:num>
  <w:num w:numId="44541724">
    <w:abstractNumId w:val="445417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0403538" Type="http://schemas.openxmlformats.org/officeDocument/2006/relationships/numbering" Target="numbering.xml"/><Relationship Id="rId116545415" Type="http://schemas.openxmlformats.org/officeDocument/2006/relationships/comments" Target="comments.xml"/><Relationship Id="rId19316862ad515713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