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FootnoteReference"/>
        </w:rPr>
        <w:footnoteReference w:id="12822"/>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FootnoteReference"/>
        </w:rPr>
        <w:footnoteReference w:id="21939"/>
      </w:r>
      <w:r>
        <w:rPr>
          <w:rStyle w:val="rOTQuote"/>
        </w:rPr>
        <w:t xml:space="preserve"> who will prepare the road for you.</w:t>
      </w:r>
      <w:r>
        <w:rPr>
          <w:rStyle w:val="FootnoteReference"/>
        </w:rPr>
        <w:footnoteReference w:id="18963"/>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FootnoteReference"/>
        </w:rPr>
        <w:footnoteReference w:id="12331"/>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FootnoteReference"/>
        </w:rPr>
        <w:footnoteReference w:id="12568"/>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FootnoteReference"/>
        </w:rPr>
        <w:footnoteReference w:id="27662"/>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FootnoteReference"/>
        </w:rPr>
        <w:footnoteReference w:id="19801"/>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FootnoteReference"/>
        </w:rPr>
        <w:footnoteReference w:id="21035"/>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FootnoteReference"/>
        </w:rPr>
        <w:footnoteReference w:id="14872"/>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FootnoteReference"/>
        </w:rPr>
        <w:footnoteReference w:id="17931"/>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FootnoteReference"/>
        </w:rPr>
        <w:footnoteReference w:id="15919"/>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FootnoteReference"/>
        </w:rPr>
        <w:footnoteReference w:id="14818"/>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FootnoteReference"/>
        </w:rPr>
        <w:footnoteReference w:id="10834"/>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w:t>
      </w:r>
      <w:r>
        <w:rPr>
          <w:rStyle w:val="FootnoteReference"/>
        </w:rPr>
        <w:footnoteReference w:id="22512"/>
      </w:r>
      <w:r>
        <w:rPr/>
        <w:t xml:space="preserve">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FootnoteReference"/>
        </w:rPr>
        <w:footnoteReference w:id="16883"/>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On the contrary,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Redefining True Family</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FootnoteReference"/>
        </w:rPr>
        <w:footnoteReference w:id="18592"/>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A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good ground and produced fruit, sprouting and growing—some yielded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FootnoteReference"/>
        </w:rPr>
        <w:footnoteReference w:id="15622"/>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some</w:t>
      </w:r>
      <w:r>
        <w:rPr>
          <w:rStyle w:val="FootnoteReference"/>
        </w:rPr>
        <w:footnoteReference w:id="26369"/>
      </w:r>
      <w:r>
        <w:rPr/>
        <w:t xml:space="preserve"> are </w:t>
      </w:r>
      <w:r>
        <w:rPr>
          <w:i/>
          <w:iCs/>
        </w:rPr>
        <w:t xml:space="preserve">like</w:t>
      </w:r>
      <w:r>
        <w:rPr/>
        <w:t xml:space="preserv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some</w:t>
      </w:r>
      <w:r>
        <w:rPr>
          <w:rStyle w:val="FootnoteReference"/>
        </w:rPr>
        <w:footnoteReference w:id="13294"/>
      </w:r>
      <w:r>
        <w:rPr/>
        <w:t xml:space="preserve"> are </w:t>
      </w:r>
      <w:r>
        <w:rPr>
          <w:i/>
          <w:iCs/>
        </w:rPr>
        <w:t xml:space="preserve">like seed</w:t>
      </w:r>
      <w:r>
        <w:rPr/>
        <w:t xml:space="preserve"> sown on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w:t>
      </w:r>
      <w:r>
        <w:rPr>
          <w:i/>
          <w:iCs/>
        </w:rPr>
        <w:t xml:space="preserve">seed</w:t>
      </w:r>
      <w:r>
        <w:rPr/>
        <w:t xml:space="preserve"> sown among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they become unfruitful.</w:t>
      </w:r>
    </w:p>
    <w:p>
      <w:pPr>
        <w:pStyle w:val="rNormal"/>
        <w:widowControl w:val="on"/>
        <w:spacing w:before="240" w:after="0" w:line="240" w:lineRule="auto"/>
        <w:ind w:left="0" w:right="0"/>
        <w:jc w:val="left"/>
      </w:pPr>
      <w:r>
        <w:rPr>
          <w:rStyle w:val="rSupStyle"/>
          <w:vertAlign w:val="superscript"/>
        </w:rPr>
        <w:t xml:space="preserve">20</w:t>
      </w:r>
      <w:r>
        <w:rPr/>
        <w:t xml:space="preserve">“But these</w:t>
      </w:r>
      <w:r>
        <w:rPr>
          <w:rStyle w:val="FootnoteReference"/>
        </w:rPr>
        <w:footnoteReference w:id="24179"/>
      </w:r>
      <w:r>
        <w:rPr/>
        <w:t xml:space="preserve"> are </w:t>
      </w:r>
      <w:r>
        <w:rPr>
          <w:i/>
          <w:iCs/>
        </w:rPr>
        <w:t xml:space="preserve">like</w:t>
      </w:r>
      <w:r>
        <w:rPr/>
        <w:t xml:space="preserve"> </w:t>
      </w:r>
      <w:r>
        <w:rPr>
          <w:i/>
          <w:iCs/>
        </w:rPr>
        <w:t xml:space="preserve">seed</w:t>
      </w:r>
      <w:r>
        <w:rPr/>
        <w:t xml:space="preserve"> sown on good ground: whoever hears the word, and accepts it, and produces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FootnoteReference"/>
        </w:rPr>
        <w:footnoteReference w:id="18135"/>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Normal"/>
        <w:widowControl w:val="on"/>
        <w:spacing w:before="24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a Growing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FootnoteReference"/>
        </w:rPr>
        <w:footnoteReference w:id="28564"/>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FootnoteReference"/>
        </w:rPr>
        <w:footnoteReference w:id="32084"/>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she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kept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to the </w:t>
      </w:r>
      <w:r>
        <w:rPr>
          <w:i/>
          <w:iCs/>
        </w:rPr>
        <w:t xml:space="preserve">surrounding</w:t>
      </w:r>
      <w:r>
        <w:rPr/>
        <w:t xml:space="preserve"> villages, one after the other,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FootnoteReference"/>
        </w:rPr>
        <w:footnoteReference w:id="25626"/>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from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FootnoteReference"/>
        </w:rPr>
        <w:footnoteReference w:id="19794"/>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away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FootnoteReference"/>
        </w:rPr>
        <w:footnoteReference w:id="15433"/>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onto the mountain to pray. </w:t>
      </w:r>
      <w:r>
        <w:rPr>
          <w:rStyle w:val="rSupStyle"/>
          <w:vertAlign w:val="superscript"/>
        </w:rPr>
        <w:t xml:space="preserve">47</w:t>
      </w:r>
      <w:r>
        <w:rPr/>
        <w:t xml:space="preserve">And when evening came, the boat was in the middle of the lake,</w:t>
      </w:r>
      <w:r>
        <w:rPr>
          <w:rStyle w:val="FootnoteReference"/>
        </w:rPr>
        <w:footnoteReference w:id="27320"/>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FootnoteReference"/>
        </w:rPr>
        <w:footnoteReference w:id="31451"/>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correctly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FootnoteReference"/>
        </w:rPr>
        <w:footnoteReference w:id="32538"/>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FootnoteReference"/>
        </w:rPr>
        <w:footnoteReference w:id="25003"/>
      </w:r>
      <w:r>
        <w:rPr/>
        <w:t xml:space="preserve"> and, </w:t>
      </w:r>
      <w:r>
        <w:rPr>
          <w:rStyle w:val="rOTQuote"/>
        </w:rPr>
        <w:t xml:space="preserve">Whoever speaks evil of their father or mother, let him be put to death.</w:t>
      </w:r>
      <w:r>
        <w:rPr>
          <w:rStyle w:val="FootnoteReference"/>
        </w:rPr>
        <w:footnoteReference w:id="18651"/>
      </w:r>
      <w:r>
        <w:rPr/>
        <w:t xml:space="preserve"> </w:t>
      </w:r>
      <w:r>
        <w:rPr>
          <w:rStyle w:val="rSupStyle"/>
          <w:vertAlign w:val="superscript"/>
        </w:rPr>
        <w:t xml:space="preserve">11</w:t>
      </w:r>
      <w:r>
        <w:rPr/>
        <w:t xml:space="preserve">But you say that if a person says to his father or mother, ‘Whatever </w:t>
      </w:r>
      <w:r>
        <w:rPr>
          <w:i/>
          <w:iCs/>
        </w:rPr>
        <w:t xml:space="preserve">benefit</w:t>
      </w:r>
      <w:r>
        <w:rPr/>
        <w:t xml:space="preserve"> you might have gained from me is </w:t>
      </w:r>
      <w:r>
        <w:rPr>
          <w:i/>
          <w:iCs/>
        </w:rPr>
        <w:t xml:space="preserve">already</w:t>
      </w:r>
      <w:r>
        <w:rPr/>
        <w:t xml:space="preserve"> Corban (which means, “Devoted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from within (out of people’s hearts) come evil thoughts, sexual immorality, theft, murder, adultery, </w:t>
      </w:r>
      <w:r>
        <w:rPr>
          <w:rStyle w:val="rSupStyle"/>
          <w:vertAlign w:val="superscript"/>
        </w:rPr>
        <w:t xml:space="preserve">22</w:t>
      </w:r>
      <w:r>
        <w:rPr/>
        <w:t xml:space="preserve">greed, wickedness, deceit, unrestrained behavior, stinginess,</w:t>
      </w:r>
      <w:r>
        <w:rPr>
          <w:rStyle w:val="FootnoteReference"/>
        </w:rPr>
        <w:footnoteReference w:id="12758"/>
      </w:r>
      <w:r>
        <w:rPr/>
        <w:t xml:space="preserve"> insults,</w:t>
      </w:r>
      <w:r>
        <w:rPr>
          <w:rStyle w:val="FootnoteReference"/>
        </w:rPr>
        <w:footnoteReference w:id="21562"/>
      </w:r>
      <w:r>
        <w:rPr/>
        <w:t xml:space="preserve">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The 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FootnoteReference"/>
        </w:rPr>
        <w:footnoteReference w:id="10375"/>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w:t>
      </w:r>
      <w:r>
        <w:rPr>
          <w:i/>
          <w:iCs/>
        </w:rPr>
        <w:t xml:space="preserve">the fact</w:t>
      </w:r>
      <w:r>
        <w:rPr/>
        <w:t xml:space="preserve"> that you don’t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FootnoteReference"/>
        </w:rPr>
        <w:footnoteReference w:id="32204"/>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Two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FootnoteReference"/>
        </w:rPr>
        <w:footnoteReference w:id="27023"/>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out of my way, Adversary! For you are not thinking about God’s purposes, but about human interests.”</w:t>
      </w:r>
      <w:r>
        <w:rPr>
          <w:rStyle w:val="FootnoteReference"/>
        </w:rPr>
        <w:footnoteReference w:id="19569"/>
      </w:r>
      <w:r>
        <w:rPr/>
        <w:t xml:space="preserve"> </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experience death</w:t>
      </w:r>
      <w:r>
        <w:rPr>
          <w:rStyle w:val="FootnoteReference"/>
        </w:rPr>
        <w:footnoteReference w:id="21262"/>
      </w:r>
      <w:r>
        <w:rPr/>
        <w:t xml:space="preserve"> until they see the Kingdom of God having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Second Time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FootnoteReference"/>
        </w:rPr>
        <w:footnoteReference w:id="13207"/>
      </w:r>
      <w:r>
        <w:rPr/>
        <w:t xml:space="preserve"> truly I say to you, he will absolutely not lose his reward.</w:t>
      </w:r>
    </w:p>
    <w:p>
      <w:pPr>
        <w:pStyle w:val="rVersHead"/>
        <w:widowControl w:val="on"/>
      </w:pPr>
      <w:r>
        <w:rPr/>
        <w:t xml:space="preserve">Warnings About Sin</w:t>
      </w:r>
    </w:p>
    <w:p>
      <w:pPr>
        <w:pStyle w:val="rNormal"/>
        <w:widowControl w:val="on"/>
        <w:spacing w:before="0" w:after="0" w:line="240" w:lineRule="auto"/>
        <w:ind w:left="0" w:right="0"/>
        <w:jc w:val="left"/>
      </w:pPr>
      <w:r>
        <w:rPr>
          <w:rStyle w:val="rSupStyle"/>
          <w:vertAlign w:val="superscript"/>
        </w:rPr>
        <w:t xml:space="preserve">42</w:t>
      </w:r>
      <w:r>
        <w:rPr/>
        <w:t xml:space="preserve">“But whoever causes one of these little ones who believe in me to fall away, it would be better for him if a huge millstone</w:t>
      </w:r>
      <w:r>
        <w:rPr>
          <w:rStyle w:val="FootnoteReference"/>
        </w:rPr>
        <w:footnoteReference w:id="31656"/>
      </w:r>
      <w:r>
        <w:rPr/>
        <w:t xml:space="preserve"> was hung around his neck and he was thrown into the lake.</w:t>
      </w:r>
      <w:r>
        <w:rPr>
          <w:rStyle w:val="FootnoteReference"/>
        </w:rPr>
        <w:footnoteReference w:id="32679"/>
      </w:r>
      <w:r>
        <w:rPr/>
        <w:t xml:space="preserve"> </w:t>
      </w: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FootnoteReference"/>
        </w:rPr>
        <w:footnoteReference w:id="18126"/>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FootnoteReference"/>
        </w:rPr>
        <w:footnoteReference w:id="26989"/>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FootnoteReference"/>
        </w:rPr>
        <w:footnoteReference w:id="18035"/>
      </w:r>
      <w:r>
        <w:rPr/>
        <w:t xml:space="preserve"> </w:t>
      </w:r>
      <w:r>
        <w:rPr>
          <w:rStyle w:val="rOTQuote"/>
        </w:rPr>
        <w:t xml:space="preserve">made them male and female</w:t>
      </w:r>
      <w:r>
        <w:rPr/>
        <w:t xml:space="preserve">.</w:t>
      </w:r>
      <w:r>
        <w:rPr>
          <w:rStyle w:val="FootnoteReference"/>
        </w:rPr>
        <w:footnoteReference w:id="19213"/>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FootnoteReference"/>
        </w:rPr>
        <w:footnoteReference w:id="16147"/>
      </w:r>
      <w:r>
        <w:rPr/>
        <w:t xml:space="preserve"> </w:t>
      </w:r>
      <w:r>
        <w:rPr>
          <w:rStyle w:val="rSupStyle"/>
          <w:vertAlign w:val="superscript"/>
        </w:rPr>
        <w:t xml:space="preserve">8</w:t>
      </w:r>
      <w:r>
        <w:rPr>
          <w:rStyle w:val="rOTQuote"/>
        </w:rPr>
        <w:t xml:space="preserve">and the two will become one flesh</w:t>
      </w:r>
      <w:r>
        <w:rPr/>
        <w:t xml:space="preserve">,</w:t>
      </w:r>
      <w:r>
        <w:rPr>
          <w:rStyle w:val="FootnoteReference"/>
        </w:rPr>
        <w:footnoteReference w:id="11929"/>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FootnoteReference"/>
        </w:rPr>
        <w:footnoteReference w:id="21840"/>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FootnoteReference"/>
        </w:rPr>
        <w:footnoteReference w:id="27769"/>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FootnoteReference"/>
        </w:rPr>
        <w:footnoteReference w:id="14395"/>
      </w:r>
      <w:r>
        <w:rPr/>
        <w:t xml:space="preserve"> </w:t>
      </w:r>
      <w:r>
        <w:rPr>
          <w:rStyle w:val="rOTQuote"/>
        </w:rPr>
        <w:t xml:space="preserve">Blessed is he who comes in the name of the Lord!</w:t>
      </w:r>
      <w:r>
        <w:rPr>
          <w:rStyle w:val="FootnoteReference"/>
        </w:rPr>
        <w:footnoteReference w:id="21808"/>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FootnoteReference"/>
        </w:rPr>
        <w:footnoteReference w:id="15424"/>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FootnoteReference"/>
        </w:rPr>
        <w:footnoteReference w:id="21384"/>
      </w:r>
      <w:r>
        <w:rPr/>
        <w:t xml:space="preserve"> But you have made it a </w:t>
      </w:r>
      <w:r>
        <w:rPr>
          <w:rStyle w:val="rOTQuote"/>
        </w:rPr>
        <w:t xml:space="preserve">den of robbers</w:t>
      </w:r>
      <w:r>
        <w:rPr/>
        <w:t xml:space="preserve">.”</w:t>
      </w:r>
      <w:r>
        <w:rPr>
          <w:rStyle w:val="FootnoteReference"/>
        </w:rPr>
        <w:footnoteReference w:id="10745"/>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everyone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FootnoteReference"/>
        </w:rPr>
        <w:footnoteReference w:id="22984"/>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FootnoteReference"/>
        </w:rPr>
        <w:footnoteReference w:id="32092"/>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FootnoteReference"/>
        </w:rPr>
        <w:footnoteReference w:id="10110"/>
      </w:r>
      <w:r>
        <w:rPr/>
        <w:t xml:space="preserve"> but teach the way of God in accordance with the truth. Is it lawful to pay a census tax</w:t>
      </w:r>
      <w:r>
        <w:rPr>
          <w:rStyle w:val="FootnoteReference"/>
        </w:rPr>
        <w:footnoteReference w:id="13279"/>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FootnoteReference"/>
        </w:rPr>
        <w:footnoteReference w:id="31747"/>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22950"/>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FootnoteReference"/>
        </w:rPr>
        <w:footnoteReference w:id="32650"/>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FootnoteReference"/>
        </w:rPr>
        <w:footnoteReference w:id="27505"/>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FootnoteReference"/>
        </w:rPr>
        <w:footnoteReference w:id="28328"/>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FootnoteReference"/>
        </w:rPr>
        <w:footnoteReference w:id="17704"/>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FootnoteReference"/>
        </w:rPr>
        <w:footnoteReference w:id="12716"/>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FootnoteReference"/>
        </w:rPr>
        <w:footnoteReference w:id="30383"/>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FootnoteReference"/>
        </w:rPr>
        <w:footnoteReference w:id="14366"/>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FootnoteReference"/>
        </w:rPr>
        <w:footnoteReference w:id="21791"/>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FootnoteReference"/>
        </w:rPr>
        <w:footnoteReference w:id="19445"/>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w:t>
      </w:r>
      <w:r>
        <w:rPr>
          <w:rStyle w:val="FootnoteReference"/>
        </w:rPr>
        <w:footnoteReference w:id="11992"/>
      </w:r>
      <w:r>
        <w:rPr/>
        <w:t xml:space="preserve"> which make a quadrans.</w:t>
      </w:r>
      <w:r>
        <w:rPr>
          <w:rStyle w:val="FootnoteReference"/>
        </w:rPr>
        <w:footnoteReference w:id="27687"/>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FootnoteReference"/>
        </w:rPr>
        <w:footnoteReference w:id="31226"/>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FootnoteReference"/>
        </w:rPr>
        <w:footnoteReference w:id="31006"/>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FootnoteReference"/>
        </w:rPr>
        <w:footnoteReference w:id="28524"/>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FootnoteReference"/>
        </w:rPr>
        <w:footnoteReference w:id="12150"/>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FootnoteReference"/>
        </w:rPr>
        <w:footnoteReference w:id="32512"/>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FootnoteReference"/>
        </w:rPr>
        <w:footnoteReference w:id="26962"/>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FootnoteReference"/>
        </w:rPr>
        <w:footnoteReference w:id="15214"/>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w:t>
      </w:r>
      <w:r>
        <w:rPr>
          <w:rStyle w:val="FootnoteReference"/>
        </w:rPr>
        <w:footnoteReference w:id="21729"/>
      </w:r>
      <w:r>
        <w:rPr/>
        <w:t xml:space="preserve"> and given to the poor.”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FootnoteReference"/>
        </w:rPr>
        <w:footnoteReference w:id="28939"/>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But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FootnoteReference"/>
        </w:rPr>
        <w:footnoteReference w:id="29307"/>
      </w:r>
      <w:r>
        <w:rPr/>
        <w:t xml:space="preserve"> the Son of the Blessed One?” </w:t>
      </w:r>
      <w:r>
        <w:rPr>
          <w:rStyle w:val="rSupStyle"/>
          <w:vertAlign w:val="superscript"/>
        </w:rPr>
        <w:t xml:space="preserve">62</w:t>
      </w:r>
      <w:r>
        <w:rPr/>
        <w:t xml:space="preserve">And Jesus said, “I am, and you will see the Son of Man sitting at the right hand of the Power</w:t>
      </w:r>
      <w:r>
        <w:rPr>
          <w:rStyle w:val="FootnoteReference"/>
        </w:rPr>
        <w:footnoteReference w:id="26560"/>
      </w:r>
      <w:r>
        <w:rPr/>
        <w:t xml:space="preserve"> and coming with the clouds of heaven.”</w:t>
      </w:r>
      <w:r>
        <w:rPr>
          <w:rStyle w:val="FootnoteReference"/>
        </w:rPr>
        <w:footnoteReference w:id="11008"/>
      </w:r>
      <w:r>
        <w:rPr/>
        <w:t xml:space="preserve"> </w:t>
      </w:r>
      <w:r>
        <w:rPr>
          <w:rStyle w:val="rSupStyle"/>
          <w:vertAlign w:val="superscript"/>
        </w:rPr>
        <w:t xml:space="preserve">63</w:t>
      </w:r>
      <w:r>
        <w:rPr/>
        <w:t xml:space="preserve">And the high priest tore his clothes</w:t>
      </w:r>
      <w:r>
        <w:rPr>
          <w:rStyle w:val="FootnoteReference"/>
        </w:rPr>
        <w:footnoteReference w:id="30889"/>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 </w:t>
      </w: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FootnoteReference"/>
        </w:rPr>
        <w:footnoteReference w:id="21740"/>
      </w:r>
      <w:r>
        <w:rPr/>
        <w:t xml:space="preserve"> and they called together the whole cohort </w:t>
      </w:r>
      <w:r>
        <w:rPr>
          <w:i/>
          <w:iCs/>
        </w:rPr>
        <w:t xml:space="preserve">of Roman soldiers</w:t>
      </w:r>
      <w:r>
        <w:rPr/>
        <w:t xml:space="preserve">.</w:t>
      </w:r>
      <w:r>
        <w:rPr>
          <w:rStyle w:val="FootnoteReference"/>
        </w:rPr>
        <w:footnoteReference w:id="31355"/>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FootnoteReference"/>
        </w:rPr>
        <w:footnoteReference w:id="15186"/>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the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FootnoteReference"/>
        </w:rPr>
        <w:footnoteReference w:id="10635"/>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FootnoteReference"/>
        </w:rPr>
        <w:footnoteReference w:id="30903"/>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FootnoteReference"/>
        </w:rPr>
        <w:footnoteReference w:id="31313"/>
      </w:r>
      <w:r>
        <w:rPr/>
        <w:t xml:space="preserve"> came, there was darkness over the whole land until the ninth hour.</w:t>
      </w:r>
      <w:r>
        <w:rPr>
          <w:rStyle w:val="FootnoteReference"/>
        </w:rPr>
        <w:footnoteReference w:id="22558"/>
      </w:r>
      <w:r>
        <w:rPr/>
        <w:t xml:space="preserve"> </w:t>
      </w:r>
      <w:r>
        <w:rPr>
          <w:rStyle w:val="rSupStyle"/>
          <w:vertAlign w:val="superscript"/>
        </w:rPr>
        <w:t xml:space="preserve">34</w:t>
      </w:r>
      <w:r>
        <w:rPr/>
        <w:t xml:space="preserve">And at the ninth hour, Jesus cried out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FootnoteReference"/>
        </w:rPr>
        <w:footnoteReference w:id="17328"/>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FootnoteReference"/>
        </w:rPr>
        <w:footnoteReference w:id="32232"/>
      </w:r>
      <w:r>
        <w:rPr/>
        <w:t xml:space="preserve">, he said, “Truly this man was the Son of God.” </w:t>
      </w:r>
      <w:r>
        <w:rPr>
          <w:rStyle w:val="rSupStyle"/>
          <w:vertAlign w:val="superscript"/>
        </w:rPr>
        <w:t xml:space="preserve">40</w:t>
      </w:r>
      <w:r>
        <w:rPr/>
        <w:t xml:space="preserve">And there were also women watching from a distance, among whom were Mary </w:t>
      </w:r>
      <w:r>
        <w:rPr>
          <w:i/>
          <w:iCs/>
        </w:rPr>
        <w:t xml:space="preserve">called</w:t>
      </w:r>
      <w:r>
        <w:rPr/>
        <w:t xml:space="preserve"> Magdalene, and Mary the mother of James the Younger and of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FootnoteReference"/>
        </w:rPr>
        <w:footnoteReference w:id="13979"/>
      </w:r>
      <w:r>
        <w:rPr/>
        <w:t xml:space="preserve"> who was himself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w:t>
      </w:r>
      <w:r>
        <w:rPr>
          <w:i/>
          <w:iCs/>
        </w:rPr>
        <w:t xml:space="preserve">called</w:t>
      </w:r>
      <w:r>
        <w:rPr/>
        <w:t xml:space="preserve">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19906862ad604fe6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523913"/>
      <w:docPartObj>
        <w:docPartGallery w:val="Page Numbers (Bottom of Page)"/>
        <w:docPartUnique/>
      </w:docPartObj>
    </w:sdtPr>
    <w:sdtContent>
      <w:sdt>
        <w:sdtPr>
          <w:id w:val="3835550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822">
    <w:p>
      <w:pPr>
        <w:pStyle w:val="FootnoteText"/>
      </w:pPr>
      <w:r>
        <w:rPr>
          <w:rStyle w:val="FootnoteReference"/>
        </w:rPr>
        <w:footnoteRef/>
      </w:r>
      <w:r>
        <w:t xml:space="preserve">
          <w:r>
            <w:t xml:space="preserve">
              <w:r>
                <w:t xml:space="preserve"> Lit. “the Anointed One”</w:t>
              </w:r>
            </w:t>
          </w:r>
        </w:t>
      </w:r>
    </w:p>
  </w:footnote>
  <w:footnote w:id="21939">
    <w:p>
      <w:pPr>
        <w:pStyle w:val="FootnoteText"/>
      </w:pPr>
      <w:r>
        <w:rPr>
          <w:rStyle w:val="FootnoteReference"/>
        </w:rPr>
        <w:footnoteRef/>
      </w:r>
      <w:r>
        <w:t xml:space="preserve">
          <w:r>
            <w:t xml:space="preserve">
              <w:r>
                <w:t xml:space="preserve"> Lit. “before your face”</w:t>
              </w:r>
            </w:t>
          </w:r>
        </w:t>
      </w:r>
    </w:p>
  </w:footnote>
  <w:footnote w:id="18963">
    <w:p>
      <w:pPr>
        <w:pStyle w:val="FootnoteText"/>
      </w:pPr>
      <w:r>
        <w:rPr>
          <w:rStyle w:val="FootnoteReference"/>
        </w:rPr>
        <w:footnoteRef/>
      </w:r>
      <w:r>
        <w:t xml:space="preserve">
          <w:r>
            <w:t xml:space="preserve">
              <w:r>
                <w:t xml:space="preserve"> From Mal. 3:1</w:t>
              </w:r>
            </w:t>
          </w:r>
        </w:t>
      </w:r>
    </w:p>
  </w:footnote>
  <w:footnote w:id="12331">
    <w:p>
      <w:pPr>
        <w:pStyle w:val="FootnoteText"/>
      </w:pPr>
      <w:r>
        <w:rPr>
          <w:rStyle w:val="FootnoteReference"/>
        </w:rPr>
        <w:footnoteRef/>
      </w:r>
      <w:r>
        <w:t xml:space="preserve">
          <w:r>
            <w:t xml:space="preserve">
              <w:r>
                <w:t xml:space="preserve"> From Isa. 40:3</w:t>
              </w:r>
            </w:t>
          </w:r>
        </w:t>
      </w:r>
    </w:p>
  </w:footnote>
  <w:footnote w:id="12568">
    <w:p>
      <w:pPr>
        <w:pStyle w:val="FootnoteText"/>
      </w:pPr>
      <w:r>
        <w:rPr>
          <w:rStyle w:val="FootnoteReference"/>
        </w:rPr>
        <w:footnoteRef/>
      </w:r>
      <w:r>
        <w:t xml:space="preserve">
          <w:r>
            <w:t xml:space="preserve">
              <w:r>
                <w:t xml:space="preserve"> Lit. “going up”</w:t>
              </w:r>
            </w:t>
          </w:r>
        </w:t>
      </w:r>
    </w:p>
  </w:footnote>
  <w:footnote w:id="27662">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9801">
    <w:p>
      <w:pPr>
        <w:pStyle w:val="FootnoteText"/>
      </w:pPr>
      <w:r>
        <w:rPr>
          <w:rStyle w:val="FootnoteReference"/>
        </w:rPr>
        <w:footnoteRef/>
      </w:r>
      <w:r>
        <w:t xml:space="preserve">
          <w:r>
            <w:t xml:space="preserve">
              <w:r>
                <w:t xml:space="preserve"> Referring to the “Sea of Galilee”</w:t>
              </w:r>
            </w:t>
          </w:r>
        </w:t>
      </w:r>
    </w:p>
  </w:footnote>
  <w:footnote w:id="21035">
    <w:p>
      <w:pPr>
        <w:pStyle w:val="FootnoteText"/>
      </w:pPr>
      <w:r>
        <w:rPr>
          <w:rStyle w:val="FootnoteReference"/>
        </w:rPr>
        <w:footnoteRef/>
      </w:r>
      <w:r>
        <w:t xml:space="preserve">
          <w:r>
            <w:t xml:space="preserve">
              <w:r>
                <w:t xml:space="preserve"> Or “they knew who he was”</w:t>
              </w:r>
            </w:t>
          </w:r>
        </w:t>
      </w:r>
    </w:p>
  </w:footnote>
  <w:footnote w:id="14872">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various skin diseases.</w:t>
              </w:r>
            </w:t>
          </w:r>
        </w:t>
      </w:r>
    </w:p>
  </w:footnote>
  <w:footnote w:id="17931">
    <w:p>
      <w:pPr>
        <w:pStyle w:val="FootnoteText"/>
      </w:pPr>
      <w:r>
        <w:rPr>
          <w:rStyle w:val="FootnoteReference"/>
        </w:rPr>
        <w:footnoteRef/>
      </w:r>
      <w:r>
        <w:t xml:space="preserve">
          <w:r>
            <w:t xml:space="preserve">
              <w:r>
                <w:t xml:space="preserve"> Lit. “he”</w:t>
              </w:r>
            </w:t>
          </w:r>
        </w:t>
      </w:r>
    </w:p>
  </w:footnote>
  <w:footnote w:id="15919">
    <w:p>
      <w:pPr>
        <w:pStyle w:val="FootnoteText"/>
      </w:pPr>
      <w:r>
        <w:rPr>
          <w:rStyle w:val="FootnoteReference"/>
        </w:rPr>
        <w:footnoteRef/>
      </w:r>
      <w:r>
        <w:t xml:space="preserve">
          <w:r>
            <w:t xml:space="preserve">
              <w:r>
                <w:t xml:space="preserve"> This is referring to the “Sea of Galilee.”</w:t>
              </w:r>
            </w:t>
          </w:r>
        </w:t>
      </w:r>
    </w:p>
  </w:footnote>
  <w:footnote w:id="14818">
    <w:p>
      <w:pPr>
        <w:pStyle w:val="FootnoteText"/>
      </w:pPr>
      <w:r>
        <w:rPr>
          <w:rStyle w:val="FootnoteReference"/>
        </w:rPr>
        <w:footnoteRef/>
      </w:r>
      <w:r>
        <w:t xml:space="preserve">
          <w:r>
            <w:t xml:space="preserve">
              <w:r>
                <w:t xml:space="preserve"> Lit. “sons of the bridechamber”</w:t>
              </w:r>
            </w:t>
          </w:r>
        </w:t>
      </w:r>
    </w:p>
  </w:footnote>
  <w:footnote w:id="10834">
    <w:p>
      <w:pPr>
        <w:pStyle w:val="FootnoteText"/>
      </w:pPr>
      <w:r>
        <w:rPr>
          <w:rStyle w:val="FootnoteReference"/>
        </w:rPr>
        <w:footnoteRef/>
      </w:r>
      <w:r>
        <w:t xml:space="preserve">
          <w:r>
            <w:t xml:space="preserve">
              <w:r>
                <w:t xml:space="preserve"> This is referring to the “Sea of Galilee.”</w:t>
              </w:r>
            </w:t>
          </w:r>
        </w:t>
      </w:r>
    </w:p>
  </w:footnote>
  <w:footnote w:id="22512">
    <w:p>
      <w:pPr>
        <w:pStyle w:val="FootnoteText"/>
      </w:pPr>
      <w:r>
        <w:rPr>
          <w:rStyle w:val="FootnoteReference"/>
        </w:rPr>
        <w:footnoteRef/>
      </w:r>
      <w:r>
        <w:t xml:space="preserve">
          <w:r>
            <w:t xml:space="preserve">
              <w:r>
                <w:t xml:space="preserve"> Lit. “eat bread”</w:t>
              </w:r>
            </w:t>
          </w:r>
        </w:t>
      </w:r>
    </w:p>
  </w:footnote>
  <w:footnote w:id="1688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8592">
    <w:p>
      <w:pPr>
        <w:pStyle w:val="FootnoteText"/>
      </w:pPr>
      <w:r>
        <w:rPr>
          <w:rStyle w:val="FootnoteReference"/>
        </w:rPr>
        <w:footnoteRef/>
      </w:r>
      <w:r>
        <w:t xml:space="preserve">
          <w:r>
            <w:t xml:space="preserve">
              <w:r>
                <w:t xml:space="preserve"> This is referring to the “Sea of Galilee.”</w:t>
              </w:r>
            </w:t>
          </w:r>
        </w:t>
      </w:r>
    </w:p>
  </w:footnote>
  <w:footnote w:id="15622">
    <w:p>
      <w:pPr>
        <w:pStyle w:val="FootnoteText"/>
      </w:pPr>
      <w:r>
        <w:rPr>
          <w:rStyle w:val="FootnoteReference"/>
        </w:rPr>
        <w:footnoteRef/>
      </w:r>
      <w:r>
        <w:t xml:space="preserve">
          <w:r>
            <w:t xml:space="preserve">
              <w:r>
                <w:t xml:space="preserve"> From Isa. 6:9-10</w:t>
              </w:r>
            </w:t>
          </w:r>
        </w:t>
      </w:r>
    </w:p>
  </w:footnote>
  <w:footnote w:id="26369">
    <w:p>
      <w:pPr>
        <w:pStyle w:val="FootnoteText"/>
      </w:pPr>
      <w:r>
        <w:rPr>
          <w:rStyle w:val="FootnoteReference"/>
        </w:rPr>
        <w:footnoteRef/>
      </w:r>
      <w:r>
        <w:t xml:space="preserve">
          <w:r>
            <w:t xml:space="preserve">
              <w:r>
                <w:t xml:space="preserve"> Lit. “these”</w:t>
              </w:r>
            </w:t>
          </w:r>
        </w:t>
      </w:r>
    </w:p>
  </w:footnote>
  <w:footnote w:id="13294">
    <w:p>
      <w:pPr>
        <w:pStyle w:val="FootnoteText"/>
      </w:pPr>
      <w:r>
        <w:rPr>
          <w:rStyle w:val="FootnoteReference"/>
        </w:rPr>
        <w:footnoteRef/>
      </w:r>
      <w:r>
        <w:t xml:space="preserve">
          <w:r>
            <w:t xml:space="preserve">
              <w:r>
                <w:t xml:space="preserve"> Lit. “these”</w:t>
              </w:r>
            </w:t>
          </w:r>
        </w:t>
      </w:r>
    </w:p>
  </w:footnote>
  <w:footnote w:id="24179">
    <w:p>
      <w:pPr>
        <w:pStyle w:val="FootnoteText"/>
      </w:pPr>
      <w:r>
        <w:rPr>
          <w:rStyle w:val="FootnoteReference"/>
        </w:rPr>
        <w:footnoteRef/>
      </w:r>
      <w:r>
        <w:t xml:space="preserve">
          <w:r>
            <w:t xml:space="preserve">
              <w:r>
                <w:t xml:space="preserve"> Lit. “those”</w:t>
              </w:r>
            </w:t>
          </w:r>
        </w:t>
      </w:r>
    </w:p>
  </w:footnote>
  <w:footnote w:id="18135">
    <w:p>
      <w:pPr>
        <w:pStyle w:val="FootnoteText"/>
      </w:pPr>
      <w:r>
        <w:rPr>
          <w:rStyle w:val="FootnoteReference"/>
        </w:rPr>
        <w:footnoteRef/>
      </w:r>
      <w:r>
        <w:t xml:space="preserve">
          <w:r>
            <w:t xml:space="preserve">
              <w:r>
                <w:t xml:space="preserve"> Greek is </w:t>
              </w:r>
              <w:r>
                <w:rPr>
                  <w:i/>
                </w:rPr>
                <w:t xml:space="preserve">modios</w:t>
              </w:r>
              <w:r>
                <w:t xml:space="preserve">, a container for measuring dry goods equal to about 2 gallons (8 liters).</w:t>
              </w:r>
            </w:t>
          </w:r>
        </w:t>
      </w:r>
    </w:p>
  </w:footnote>
  <w:footnote w:id="28564">
    <w:p>
      <w:pPr>
        <w:pStyle w:val="FootnoteText"/>
      </w:pPr>
      <w:r>
        <w:rPr>
          <w:rStyle w:val="FootnoteReference"/>
        </w:rPr>
        <w:footnoteRef/>
      </w:r>
      <w:r>
        <w:t xml:space="preserve">
          <w:r>
            <w:t xml:space="preserve">
              <w:r>
                <w:t xml:space="preserve"> Lit. “to the extent that they were able to understand”</w:t>
              </w:r>
            </w:t>
          </w:r>
        </w:t>
      </w:r>
    </w:p>
  </w:footnote>
  <w:footnote w:id="32084">
    <w:p>
      <w:pPr>
        <w:pStyle w:val="FootnoteText"/>
      </w:pPr>
      <w:r>
        <w:rPr>
          <w:rStyle w:val="FootnoteReference"/>
        </w:rPr>
        <w:footnoteRef/>
      </w:r>
      <w:r>
        <w:t xml:space="preserve">
          <w:r>
            <w:t xml:space="preserve">
              <w:r>
                <w:t xml:space="preserve"> This is referring to the “Sea of Galilee.”</w:t>
              </w:r>
            </w:t>
          </w:r>
        </w:t>
      </w:r>
    </w:p>
  </w:footnote>
  <w:footnote w:id="25626">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9794">
    <w:p>
      <w:pPr>
        <w:pStyle w:val="FootnoteText"/>
      </w:pPr>
      <w:r>
        <w:rPr>
          <w:rStyle w:val="FootnoteReference"/>
        </w:rPr>
        <w:footnoteRef/>
      </w:r>
      <w:r>
        <w:t xml:space="preserve">
          <w:r>
            <w:t xml:space="preserve">
              <w:r>
                <w:t xml:space="preserve"> Lit. “he”</w:t>
              </w:r>
            </w:t>
          </w:r>
        </w:t>
      </w:r>
    </w:p>
  </w:footnote>
  <w:footnote w:id="15433">
    <w:p>
      <w:pPr>
        <w:pStyle w:val="FootnoteText"/>
      </w:pPr>
      <w:r>
        <w:rPr>
          <w:rStyle w:val="FootnoteReference"/>
        </w:rPr>
        <w:footnoteRef/>
      </w:r>
      <w:r>
        <w:t xml:space="preserve">
          <w:r>
            <w:t xml:space="preserve">
              <w:r>
                <w:t xml:space="preserve"> A denarius was a coin that was one day’s wage for a laborer.</w:t>
              </w:r>
            </w:t>
          </w:r>
        </w:t>
      </w:r>
    </w:p>
  </w:footnote>
  <w:footnote w:id="27320">
    <w:p>
      <w:pPr>
        <w:pStyle w:val="FootnoteText"/>
      </w:pPr>
      <w:r>
        <w:rPr>
          <w:rStyle w:val="FootnoteReference"/>
        </w:rPr>
        <w:footnoteRef/>
      </w:r>
      <w:r>
        <w:t xml:space="preserve">
          <w:r>
            <w:t xml:space="preserve">
              <w:r>
                <w:t xml:space="preserve"> This is referring to the “Sea of Galilee.”</w:t>
              </w:r>
            </w:t>
          </w:r>
        </w:t>
      </w:r>
    </w:p>
  </w:footnote>
  <w:footnote w:id="31451">
    <w:p>
      <w:pPr>
        <w:pStyle w:val="FootnoteText"/>
      </w:pPr>
      <w:r>
        <w:rPr>
          <w:rStyle w:val="FootnoteReference"/>
        </w:rPr>
        <w:footnoteRef/>
      </w:r>
      <w:r>
        <w:t xml:space="preserve">
          <w:r>
            <w:t xml:space="preserve">
              <w:r>
                <w:t xml:space="preserve"> The fourth watch was from 3-6 a.m.</w:t>
              </w:r>
            </w:t>
          </w:r>
        </w:t>
      </w:r>
    </w:p>
  </w:footnote>
  <w:footnote w:id="32538">
    <w:p>
      <w:pPr>
        <w:pStyle w:val="FootnoteText"/>
      </w:pPr>
      <w:r>
        <w:rPr>
          <w:rStyle w:val="FootnoteReference"/>
        </w:rPr>
        <w:footnoteRef/>
      </w:r>
      <w:r>
        <w:t xml:space="preserve">
          <w:r>
            <w:t xml:space="preserve">
              <w:r>
                <w:t xml:space="preserve"> From Isa. 29:13</w:t>
              </w:r>
            </w:t>
          </w:r>
        </w:t>
      </w:r>
    </w:p>
  </w:footnote>
  <w:footnote w:id="25003">
    <w:p>
      <w:pPr>
        <w:pStyle w:val="FootnoteText"/>
      </w:pPr>
      <w:r>
        <w:rPr>
          <w:rStyle w:val="FootnoteReference"/>
        </w:rPr>
        <w:footnoteRef/>
      </w:r>
      <w:r>
        <w:t xml:space="preserve">
          <w:r>
            <w:t xml:space="preserve">
              <w:r>
                <w:t xml:space="preserve"> From Exod. 20:12; Deut. 5:16</w:t>
              </w:r>
            </w:t>
          </w:r>
        </w:t>
      </w:r>
    </w:p>
  </w:footnote>
  <w:footnote w:id="18651">
    <w:p>
      <w:pPr>
        <w:pStyle w:val="FootnoteText"/>
      </w:pPr>
      <w:r>
        <w:rPr>
          <w:rStyle w:val="FootnoteReference"/>
        </w:rPr>
        <w:footnoteRef/>
      </w:r>
      <w:r>
        <w:t xml:space="preserve">
          <w:r>
            <w:t xml:space="preserve">
              <w:r>
                <w:t xml:space="preserve"> From Exod. 21:17; Lev. 20:9</w:t>
              </w:r>
            </w:t>
          </w:r>
        </w:t>
      </w:r>
    </w:p>
  </w:footnote>
  <w:footnote w:id="12758">
    <w:p>
      <w:pPr>
        <w:pStyle w:val="FootnoteText"/>
      </w:pPr>
      <w:r>
        <w:rPr>
          <w:rStyle w:val="FootnoteReference"/>
        </w:rPr>
        <w:footnoteRef/>
      </w:r>
      <w:r>
        <w:t xml:space="preserve">
          <w:r>
            <w:t xml:space="preserve">
              <w:r>
                <w:t xml:space="preserve"> Lit. “an evil eye,” which is idiomatic for being stingy, covetous, envious.</w:t>
              </w:r>
            </w:t>
          </w:r>
        </w:t>
      </w:r>
    </w:p>
  </w:footnote>
  <w:footnote w:id="21562">
    <w:p>
      <w:pPr>
        <w:pStyle w:val="FootnoteText"/>
      </w:pPr>
      <w:r>
        <w:rPr>
          <w:rStyle w:val="FootnoteReference"/>
        </w:rPr>
        <w:footnoteRef/>
      </w:r>
      <w:r>
        <w:t xml:space="preserve">
          <w:r>
            <w:t xml:space="preserve">
              <w:r>
                <w:t xml:space="preserve"> Or “slander”</w:t>
              </w:r>
            </w:t>
          </w:r>
        </w:t>
      </w:r>
    </w:p>
  </w:footnote>
  <w:footnote w:id="10375">
    <w:p>
      <w:pPr>
        <w:pStyle w:val="FootnoteText"/>
      </w:pPr>
      <w:r>
        <w:rPr>
          <w:rStyle w:val="FootnoteReference"/>
        </w:rPr>
        <w:footnoteRef/>
      </w:r>
      <w:r>
        <w:t xml:space="preserve">
          <w:r>
            <w:t xml:space="preserve">
              <w:r>
                <w:t xml:space="preserve"> Lit. “a Greek”</w:t>
              </w:r>
            </w:t>
          </w:r>
        </w:t>
      </w:r>
    </w:p>
  </w:footnote>
  <w:footnote w:id="32204">
    <w:p>
      <w:pPr>
        <w:pStyle w:val="FootnoteText"/>
      </w:pPr>
      <w:r>
        <w:rPr>
          <w:rStyle w:val="FootnoteReference"/>
        </w:rPr>
        <w:footnoteRef/>
      </w:r>
      <w:r>
        <w:t xml:space="preserve">
          <w:r>
            <w:t xml:space="preserve">
              <w:r>
                <w:t xml:space="preserve"> From Jer. 5:21; Ezek. 12:2</w:t>
              </w:r>
            </w:t>
          </w:r>
        </w:t>
      </w:r>
    </w:p>
  </w:footnote>
  <w:footnote w:id="27023">
    <w:p>
      <w:pPr>
        <w:pStyle w:val="FootnoteText"/>
      </w:pPr>
      <w:r>
        <w:rPr>
          <w:rStyle w:val="FootnoteReference"/>
        </w:rPr>
        <w:footnoteRef/>
      </w:r>
      <w:r>
        <w:t xml:space="preserve">
          <w:r>
            <w:t xml:space="preserve">
              <w:r>
                <w:t xml:space="preserve"> Lit. “the Anointed One”</w:t>
              </w:r>
            </w:t>
          </w:r>
        </w:t>
      </w:r>
    </w:p>
  </w:footnote>
  <w:footnote w:id="19569">
    <w:p>
      <w:pPr>
        <w:pStyle w:val="FootnoteText"/>
      </w:pPr>
      <w:r>
        <w:rPr>
          <w:rStyle w:val="FootnoteReference"/>
        </w:rPr>
        <w:footnoteRef/>
      </w:r>
      <w:r>
        <w:t xml:space="preserve">
          <w:r>
            <w:t xml:space="preserve">
              <w:r>
                <w:t xml:space="preserve"> Lit. “the things of God, but the things of humans”</w:t>
              </w:r>
            </w:t>
          </w:r>
        </w:t>
      </w:r>
    </w:p>
  </w:footnote>
  <w:footnote w:id="21262">
    <w:p>
      <w:pPr>
        <w:pStyle w:val="FootnoteText"/>
      </w:pPr>
      <w:r>
        <w:rPr>
          <w:rStyle w:val="FootnoteReference"/>
        </w:rPr>
        <w:footnoteRef/>
      </w:r>
      <w:r>
        <w:t xml:space="preserve">
          <w:r>
            <w:t xml:space="preserve">
              <w:r>
                <w:t xml:space="preserve"> Lit. “taste death,” i.e. die.</w:t>
              </w:r>
            </w:t>
          </w:r>
        </w:t>
      </w:r>
    </w:p>
  </w:footnote>
  <w:footnote w:id="13207">
    <w:p>
      <w:pPr>
        <w:pStyle w:val="FootnoteText"/>
      </w:pPr>
      <w:r>
        <w:rPr>
          <w:rStyle w:val="FootnoteReference"/>
        </w:rPr>
        <w:footnoteRef/>
      </w:r>
      <w:r>
        <w:t xml:space="preserve">
          <w:r>
            <w:t xml:space="preserve">
              <w:r>
                <w:t xml:space="preserve"> Lit. “the Anointed One”</w:t>
              </w:r>
            </w:t>
          </w:r>
        </w:t>
      </w:r>
    </w:p>
  </w:footnote>
  <w:footnote w:id="31656">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32679">
    <w:p>
      <w:pPr>
        <w:pStyle w:val="FootnoteText"/>
      </w:pPr>
      <w:r>
        <w:rPr>
          <w:rStyle w:val="FootnoteReference"/>
        </w:rPr>
        <w:footnoteRef/>
      </w:r>
      <w:r>
        <w:t xml:space="preserve">
          <w:r>
            <w:t xml:space="preserve">
              <w:r>
                <w:t xml:space="preserve"> This is referring to the “Sea of Galilee.”</w:t>
              </w:r>
            </w:t>
          </w:r>
        </w:t>
      </w:r>
    </w:p>
  </w:footnote>
  <w:footnote w:id="18126">
    <w:p>
      <w:pPr>
        <w:pStyle w:val="FootnoteText"/>
      </w:pPr>
      <w:r>
        <w:rPr>
          <w:rStyle w:val="FootnoteReference"/>
        </w:rPr>
        <w:footnoteRef/>
      </w:r>
      <w:r>
        <w:t xml:space="preserve">
          <w:r>
            <w:t xml:space="preserve">
              <w:r>
                <w:t xml:space="preserve"> From Isa. 66:24</w:t>
              </w:r>
            </w:t>
          </w:r>
        </w:t>
      </w:r>
    </w:p>
  </w:footnote>
  <w:footnote w:id="26989">
    <w:p>
      <w:pPr>
        <w:pStyle w:val="FootnoteText"/>
      </w:pPr>
      <w:r>
        <w:rPr>
          <w:rStyle w:val="FootnoteReference"/>
        </w:rPr>
        <w:footnoteRef/>
      </w:r>
      <w:r>
        <w:t xml:space="preserve">
          <w:r>
            <w:t xml:space="preserve">
              <w:r>
                <w:t xml:space="preserve"> Alluding to Deut. 24:1-4</w:t>
              </w:r>
            </w:t>
          </w:r>
        </w:t>
      </w:r>
    </w:p>
  </w:footnote>
  <w:footnote w:id="18035">
    <w:p>
      <w:pPr>
        <w:pStyle w:val="FootnoteText"/>
      </w:pPr>
      <w:r>
        <w:rPr>
          <w:rStyle w:val="FootnoteReference"/>
        </w:rPr>
        <w:footnoteRef/>
      </w:r>
      <w:r>
        <w:t xml:space="preserve">
          <w:r>
            <w:t xml:space="preserve">
              <w:r>
                <w:t xml:space="preserve"> Lit. “he”</w:t>
              </w:r>
            </w:t>
          </w:r>
        </w:t>
      </w:r>
    </w:p>
  </w:footnote>
  <w:footnote w:id="19213">
    <w:p>
      <w:pPr>
        <w:pStyle w:val="FootnoteText"/>
      </w:pPr>
      <w:r>
        <w:rPr>
          <w:rStyle w:val="FootnoteReference"/>
        </w:rPr>
        <w:footnoteRef/>
      </w:r>
      <w:r>
        <w:t xml:space="preserve">
          <w:r>
            <w:t xml:space="preserve">
              <w:r>
                <w:t xml:space="preserve"> From Gen. 1:27</w:t>
              </w:r>
            </w:t>
          </w:r>
        </w:t>
      </w:r>
    </w:p>
  </w:footnote>
  <w:footnote w:id="16147">
    <w:p>
      <w:pPr>
        <w:pStyle w:val="FootnoteText"/>
      </w:pPr>
      <w:r>
        <w:rPr>
          <w:rStyle w:val="FootnoteReference"/>
        </w:rPr>
        <w:footnoteRef/>
      </w:r>
      <w:r>
        <w:t xml:space="preserve">
          <w:r>
            <w:t xml:space="preserve">
              <w:r>
                <w:t xml:space="preserve"> From Gen. 2:24</w:t>
              </w:r>
            </w:t>
          </w:r>
        </w:t>
      </w:r>
    </w:p>
  </w:footnote>
  <w:footnote w:id="11929">
    <w:p>
      <w:pPr>
        <w:pStyle w:val="FootnoteText"/>
      </w:pPr>
      <w:r>
        <w:rPr>
          <w:rStyle w:val="FootnoteReference"/>
        </w:rPr>
        <w:footnoteRef/>
      </w:r>
      <w:r>
        <w:t xml:space="preserve">
          <w:r>
            <w:t xml:space="preserve">
              <w:r>
                <w:t xml:space="preserve"> From Gen. 2:24</w:t>
              </w:r>
            </w:t>
          </w:r>
        </w:t>
      </w:r>
    </w:p>
  </w:footnote>
  <w:footnote w:id="21840">
    <w:p>
      <w:pPr>
        <w:pStyle w:val="FootnoteText"/>
      </w:pPr>
      <w:r>
        <w:rPr>
          <w:rStyle w:val="FootnoteReference"/>
        </w:rPr>
        <w:footnoteRef/>
      </w:r>
      <w:r>
        <w:t xml:space="preserve">
          <w:r>
            <w:t xml:space="preserve">
              <w:r>
                <w:t xml:space="preserve"> From Exod. 20:12-16; Deut. 5:16-20</w:t>
              </w:r>
            </w:t>
          </w:r>
        </w:t>
      </w:r>
    </w:p>
  </w:footnote>
  <w:footnote w:id="27769">
    <w:p>
      <w:pPr>
        <w:pStyle w:val="FootnoteText"/>
      </w:pPr>
      <w:r>
        <w:rPr>
          <w:rStyle w:val="FootnoteReference"/>
        </w:rPr>
        <w:footnoteRef/>
      </w:r>
      <w:r>
        <w:t xml:space="preserve">
          <w:r>
            <w:t xml:space="preserve">
              <w:r>
                <w:t xml:space="preserve"> Lit. “fields”</w:t>
              </w:r>
            </w:t>
          </w:r>
        </w:t>
      </w:r>
    </w:p>
  </w:footnote>
  <w:footnote w:id="14395">
    <w:p>
      <w:pPr>
        <w:pStyle w:val="FootnoteText"/>
      </w:pPr>
      <w:r>
        <w:rPr>
          <w:rStyle w:val="FootnoteReference"/>
        </w:rPr>
        <w:footnoteRef/>
      </w:r>
      <w:r>
        <w:t xml:space="preserve">
          <w:r>
            <w:t xml:space="preserve">
              <w:r>
                <w:t xml:space="preserve"> “Hosanna” is an Aramaic word originally meaning “Help, I pray” or “Save now.” By NT times, it came to be used as an expression of praise.</w:t>
              </w:r>
            </w:t>
          </w:r>
        </w:t>
      </w:r>
    </w:p>
  </w:footnote>
  <w:footnote w:id="21808">
    <w:p>
      <w:pPr>
        <w:pStyle w:val="FootnoteText"/>
      </w:pPr>
      <w:r>
        <w:rPr>
          <w:rStyle w:val="FootnoteReference"/>
        </w:rPr>
        <w:footnoteRef/>
      </w:r>
      <w:r>
        <w:t xml:space="preserve">
          <w:r>
            <w:t xml:space="preserve">
              <w:r>
                <w:t xml:space="preserve"> From Ps. 118:25-26</w:t>
              </w:r>
            </w:t>
          </w:r>
        </w:t>
      </w:r>
    </w:p>
  </w:footnote>
  <w:footnote w:id="15424">
    <w:p>
      <w:pPr>
        <w:pStyle w:val="FootnoteText"/>
      </w:pPr>
      <w:r>
        <w:rPr>
          <w:rStyle w:val="FootnoteReference"/>
        </w:rPr>
        <w:footnoteRef/>
      </w:r>
      <w:r>
        <w:t xml:space="preserve">
          <w:r>
            <w:t xml:space="preserve">
              <w:r>
                <w:t xml:space="preserve"> Lit. “objects” or “vessels”</w:t>
              </w:r>
            </w:t>
          </w:r>
        </w:t>
      </w:r>
    </w:p>
  </w:footnote>
  <w:footnote w:id="21384">
    <w:p>
      <w:pPr>
        <w:pStyle w:val="FootnoteText"/>
      </w:pPr>
      <w:r>
        <w:rPr>
          <w:rStyle w:val="FootnoteReference"/>
        </w:rPr>
        <w:footnoteRef/>
      </w:r>
      <w:r>
        <w:t xml:space="preserve">
          <w:r>
            <w:t xml:space="preserve">
              <w:r>
                <w:t xml:space="preserve"> From Isa. 56:7</w:t>
              </w:r>
            </w:t>
          </w:r>
        </w:t>
      </w:r>
    </w:p>
  </w:footnote>
  <w:footnote w:id="10745">
    <w:p>
      <w:pPr>
        <w:pStyle w:val="FootnoteText"/>
      </w:pPr>
      <w:r>
        <w:rPr>
          <w:rStyle w:val="FootnoteReference"/>
        </w:rPr>
        <w:footnoteRef/>
      </w:r>
      <w:r>
        <w:t xml:space="preserve">
          <w:r>
            <w:t xml:space="preserve">
              <w:r>
                <w:t xml:space="preserve"> From Jer. 7:11</w:t>
              </w:r>
            </w:t>
          </w:r>
        </w:t>
      </w:r>
    </w:p>
  </w:footnote>
  <w:footnote w:id="22984">
    <w:p>
      <w:pPr>
        <w:pStyle w:val="FootnoteText"/>
      </w:pPr>
      <w:r>
        <w:rPr>
          <w:rStyle w:val="FootnoteReference"/>
        </w:rPr>
        <w:footnoteRef/>
      </w:r>
      <w:r>
        <w:t xml:space="preserve">
          <w:r>
            <w:t xml:space="preserve">
              <w:r>
                <w:t xml:space="preserve"> Lit. “lord”</w:t>
              </w:r>
            </w:t>
          </w:r>
        </w:t>
      </w:r>
    </w:p>
  </w:footnote>
  <w:footnote w:id="32092">
    <w:p>
      <w:pPr>
        <w:pStyle w:val="FootnoteText"/>
      </w:pPr>
      <w:r>
        <w:rPr>
          <w:rStyle w:val="FootnoteReference"/>
        </w:rPr>
        <w:footnoteRef/>
      </w:r>
      <w:r>
        <w:t xml:space="preserve">
          <w:r>
            <w:t xml:space="preserve">
              <w:r>
                <w:t xml:space="preserve"> From Ps. 118:22-23</w:t>
              </w:r>
            </w:t>
          </w:r>
        </w:t>
      </w:r>
    </w:p>
  </w:footnote>
  <w:footnote w:id="10110">
    <w:p>
      <w:pPr>
        <w:pStyle w:val="FootnoteText"/>
      </w:pPr>
      <w:r>
        <w:rPr>
          <w:rStyle w:val="FootnoteReference"/>
        </w:rPr>
        <w:footnoteRef/>
      </w:r>
      <w:r>
        <w:t xml:space="preserve">
          <w:r>
            <w:t xml:space="preserve">
              <w:r>
                <w:t xml:space="preserve"> Lit. “look at the face of people”</w:t>
              </w:r>
            </w:t>
          </w:r>
        </w:t>
      </w:r>
    </w:p>
  </w:footnote>
  <w:footnote w:id="13279">
    <w:p>
      <w:pPr>
        <w:pStyle w:val="FootnoteText"/>
      </w:pPr>
      <w:r>
        <w:rPr>
          <w:rStyle w:val="FootnoteReference"/>
        </w:rPr>
        <w:footnoteRef/>
      </w:r>
      <w:r>
        <w:t xml:space="preserve">
          <w:r>
            <w:t xml:space="preserve">
              <w:r>
                <w:t xml:space="preserve"> A tax on individual adults</w:t>
              </w:r>
            </w:t>
          </w:r>
        </w:t>
      </w:r>
    </w:p>
  </w:footnote>
  <w:footnote w:id="31747">
    <w:p>
      <w:pPr>
        <w:pStyle w:val="FootnoteText"/>
      </w:pPr>
      <w:r>
        <w:rPr>
          <w:rStyle w:val="FootnoteReference"/>
        </w:rPr>
        <w:footnoteRef/>
      </w:r>
      <w:r>
        <w:t xml:space="preserve">
          <w:r>
            <w:t xml:space="preserve">
              <w:r>
                <w:t xml:space="preserve"> A denarius was a coin that was one day’s wage for a laborer.</w:t>
              </w:r>
            </w:t>
          </w:r>
        </w:t>
      </w:r>
    </w:p>
  </w:footnote>
  <w:footnote w:id="22950">
    <w:p>
      <w:pPr>
        <w:pStyle w:val="FootnoteText"/>
      </w:pPr>
      <w:r>
        <w:rPr>
          <w:rStyle w:val="FootnoteReference"/>
        </w:rPr>
        <w:footnoteRef/>
      </w:r>
      <w:r>
        <w:t xml:space="preserve">
          <w:r>
            <w:t xml:space="preserve">
              <w:r>
                <w:t xml:space="preserve"> From Deut. 25:5</w:t>
              </w:r>
            </w:t>
          </w:r>
        </w:t>
      </w:r>
    </w:p>
  </w:footnote>
  <w:footnote w:id="32650">
    <w:p>
      <w:pPr>
        <w:pStyle w:val="FootnoteText"/>
      </w:pPr>
      <w:r>
        <w:rPr>
          <w:rStyle w:val="FootnoteReference"/>
        </w:rPr>
        <w:footnoteRef/>
      </w:r>
      <w:r>
        <w:t xml:space="preserve">
          <w:r>
            <w:t xml:space="preserve">
              <w:r>
                <w:t xml:space="preserve"> From Exod. 3:6</w:t>
              </w:r>
            </w:t>
          </w:r>
        </w:t>
      </w:r>
    </w:p>
  </w:footnote>
  <w:footnote w:id="27505">
    <w:p>
      <w:pPr>
        <w:pStyle w:val="FootnoteText"/>
      </w:pPr>
      <w:r>
        <w:rPr>
          <w:rStyle w:val="FootnoteReference"/>
        </w:rPr>
        <w:footnoteRef/>
      </w:r>
      <w:r>
        <w:t xml:space="preserve">
          <w:r>
            <w:t xml:space="preserve">
              <w:r>
                <w:t xml:space="preserve"> Lit. “first”</w:t>
              </w:r>
            </w:t>
          </w:r>
        </w:t>
      </w:r>
    </w:p>
  </w:footnote>
  <w:footnote w:id="28328">
    <w:p>
      <w:pPr>
        <w:pStyle w:val="FootnoteText"/>
      </w:pPr>
      <w:r>
        <w:rPr>
          <w:rStyle w:val="FootnoteReference"/>
        </w:rPr>
        <w:footnoteRef/>
      </w:r>
      <w:r>
        <w:t xml:space="preserve">
          <w:r>
            <w:t xml:space="preserve">
              <w:r>
                <w:t xml:space="preserve"> From Deut. 6:4-5</w:t>
              </w:r>
            </w:t>
          </w:r>
        </w:t>
      </w:r>
    </w:p>
  </w:footnote>
  <w:footnote w:id="17704">
    <w:p>
      <w:pPr>
        <w:pStyle w:val="FootnoteText"/>
      </w:pPr>
      <w:r>
        <w:rPr>
          <w:rStyle w:val="FootnoteReference"/>
        </w:rPr>
        <w:footnoteRef/>
      </w:r>
      <w:r>
        <w:t xml:space="preserve">
          <w:r>
            <w:t xml:space="preserve">
              <w:r>
                <w:t xml:space="preserve"> From Lev. 19:18</w:t>
              </w:r>
            </w:t>
          </w:r>
        </w:t>
      </w:r>
    </w:p>
  </w:footnote>
  <w:footnote w:id="12716">
    <w:p>
      <w:pPr>
        <w:pStyle w:val="FootnoteText"/>
      </w:pPr>
      <w:r>
        <w:rPr>
          <w:rStyle w:val="FootnoteReference"/>
        </w:rPr>
        <w:footnoteRef/>
      </w:r>
      <w:r>
        <w:t xml:space="preserve">
          <w:r>
            <w:t xml:space="preserve">
              <w:r>
                <w:t xml:space="preserve"> From Deut. 4:35</w:t>
              </w:r>
            </w:t>
          </w:r>
        </w:t>
      </w:r>
    </w:p>
  </w:footnote>
  <w:footnote w:id="30383">
    <w:p>
      <w:pPr>
        <w:pStyle w:val="FootnoteText"/>
      </w:pPr>
      <w:r>
        <w:rPr>
          <w:rStyle w:val="FootnoteReference"/>
        </w:rPr>
        <w:footnoteRef/>
      </w:r>
      <w:r>
        <w:t xml:space="preserve">
          <w:r>
            <w:t xml:space="preserve">
              <w:r>
                <w:t xml:space="preserve"> From Deut. 6:4; Lev. 19:18; 1 Sam. 15:22; Hosea 6:6; Micah 6:6-8</w:t>
              </w:r>
            </w:t>
          </w:r>
        </w:t>
      </w:r>
    </w:p>
  </w:footnote>
  <w:footnote w:id="14366">
    <w:p>
      <w:pPr>
        <w:pStyle w:val="FootnoteText"/>
      </w:pPr>
      <w:r>
        <w:rPr>
          <w:rStyle w:val="FootnoteReference"/>
        </w:rPr>
        <w:footnoteRef/>
      </w:r>
      <w:r>
        <w:t xml:space="preserve">
          <w:r>
            <w:t xml:space="preserve">
              <w:r>
                <w:t xml:space="preserve"> Lit. “the Anointed One”</w:t>
              </w:r>
            </w:t>
          </w:r>
        </w:t>
      </w:r>
    </w:p>
  </w:footnote>
  <w:footnote w:id="21791">
    <w:p>
      <w:pPr>
        <w:pStyle w:val="FootnoteText"/>
      </w:pPr>
      <w:r>
        <w:rPr>
          <w:rStyle w:val="FootnoteReference"/>
        </w:rPr>
        <w:footnoteRef/>
      </w:r>
      <w:r>
        <w:t xml:space="preserve">
          <w:r>
            <w:t xml:space="preserve">
              <w:r>
                <w:t xml:space="preserve"> From Ps. 110:1</w:t>
              </w:r>
            </w:t>
          </w:r>
        </w:t>
      </w:r>
    </w:p>
  </w:footnote>
  <w:footnote w:id="19445">
    <w:p>
      <w:pPr>
        <w:pStyle w:val="FootnoteText"/>
      </w:pPr>
      <w:r>
        <w:rPr>
          <w:rStyle w:val="FootnoteReference"/>
        </w:rPr>
        <w:footnoteRef/>
      </w:r>
      <w:r>
        <w:t xml:space="preserve">
          <w:r>
            <w:t xml:space="preserve">
              <w:r>
                <w:t xml:space="preserve"> Lit. “devour widows’ houses”</w:t>
              </w:r>
            </w:t>
          </w:r>
        </w:t>
      </w:r>
    </w:p>
  </w:footnote>
  <w:footnote w:id="11992">
    <w:p>
      <w:pPr>
        <w:pStyle w:val="FootnoteText"/>
      </w:pPr>
      <w:r>
        <w:rPr>
          <w:rStyle w:val="FootnoteReference"/>
        </w:rPr>
        <w:footnoteRef/>
      </w:r>
      <w:r>
        <w:t xml:space="preserve">
          <w:r>
            <w:t xml:space="preserve">
              <w:r>
                <w:t xml:space="preserve"> A lepton was a Jewish coin worth about 1/128 of a day’s wage.</w:t>
              </w:r>
            </w:t>
          </w:r>
        </w:t>
      </w:r>
    </w:p>
  </w:footnote>
  <w:footnote w:id="27687">
    <w:p>
      <w:pPr>
        <w:pStyle w:val="FootnoteText"/>
      </w:pPr>
      <w:r>
        <w:rPr>
          <w:rStyle w:val="FootnoteReference"/>
        </w:rPr>
        <w:footnoteRef/>
      </w:r>
      <w:r>
        <w:t xml:space="preserve">
          <w:r>
            <w:t xml:space="preserve">
              <w:r>
                <w:t xml:space="preserve"> A quadrans was a Roman coin worth about 1/64 of a day’s wage.</w:t>
              </w:r>
            </w:t>
          </w:r>
        </w:t>
      </w:r>
    </w:p>
  </w:footnote>
  <w:footnote w:id="31226">
    <w:p>
      <w:pPr>
        <w:pStyle w:val="FootnoteText"/>
      </w:pPr>
      <w:r>
        <w:rPr>
          <w:rStyle w:val="FootnoteReference"/>
        </w:rPr>
        <w:footnoteRef/>
      </w:r>
      <w:r>
        <w:t xml:space="preserve">
          <w:r>
            <w:t xml:space="preserve">
              <w:r>
                <w:t xml:space="preserve"> From Dan. 9:27; 11:31; 12:11</w:t>
              </w:r>
            </w:t>
          </w:r>
        </w:t>
      </w:r>
    </w:p>
  </w:footnote>
  <w:footnote w:id="31006">
    <w:p>
      <w:pPr>
        <w:pStyle w:val="FootnoteText"/>
      </w:pPr>
      <w:r>
        <w:rPr>
          <w:rStyle w:val="FootnoteReference"/>
        </w:rPr>
        <w:footnoteRef/>
      </w:r>
      <w:r>
        <w:t xml:space="preserve">
          <w:r>
            <w:t xml:space="preserve">
              <w:r>
                <w:t xml:space="preserve"> The Greek </w:t>
              </w:r>
              <w:r>
                <w:rPr>
                  <w:i/>
                </w:rPr>
                <w:t xml:space="preserve">christos </w:t>
              </w:r>
              <w:r>
                <w:t xml:space="preserve">means “the Anointed One.”</w:t>
              </w:r>
            </w:t>
          </w:r>
        </w:t>
      </w:r>
    </w:p>
  </w:footnote>
  <w:footnote w:id="28524">
    <w:p>
      <w:pPr>
        <w:pStyle w:val="FootnoteText"/>
      </w:pPr>
      <w:r>
        <w:rPr>
          <w:rStyle w:val="FootnoteReference"/>
        </w:rPr>
        <w:footnoteRef/>
      </w:r>
      <w:r>
        <w:t xml:space="preserve">
          <w:r>
            <w:t xml:space="preserve">
              <w:r>
                <w:t xml:space="preserve"> From Isa. 13:10; 34:4</w:t>
              </w:r>
            </w:t>
          </w:r>
        </w:t>
      </w:r>
    </w:p>
  </w:footnote>
  <w:footnote w:id="12150">
    <w:p>
      <w:pPr>
        <w:pStyle w:val="FootnoteText"/>
      </w:pPr>
      <w:r>
        <w:rPr>
          <w:rStyle w:val="FootnoteReference"/>
        </w:rPr>
        <w:footnoteRef/>
      </w:r>
      <w:r>
        <w:t xml:space="preserve">
          <w:r>
            <w:t xml:space="preserve">
              <w:r>
                <w:t xml:space="preserve"> From Dan. 7:13</w:t>
              </w:r>
            </w:t>
          </w:r>
        </w:t>
      </w:r>
    </w:p>
  </w:footnote>
  <w:footnote w:id="32512">
    <w:p>
      <w:pPr>
        <w:pStyle w:val="FootnoteText"/>
      </w:pPr>
      <w:r>
        <w:rPr>
          <w:rStyle w:val="FootnoteReference"/>
        </w:rPr>
        <w:footnoteRef/>
      </w:r>
      <w:r>
        <w:t xml:space="preserve">
          <w:r>
            <w:t xml:space="preserve">
              <w:r>
                <w:t xml:space="preserve"> The “rooster-crowing watch” was from 12:00-3:00 a.m.</w:t>
              </w:r>
            </w:t>
          </w:r>
        </w:t>
      </w:r>
    </w:p>
  </w:footnote>
  <w:footnote w:id="26962">
    <w:p>
      <w:pPr>
        <w:pStyle w:val="FootnoteText"/>
      </w:pPr>
      <w:r>
        <w:rPr>
          <w:rStyle w:val="FootnoteReference"/>
        </w:rPr>
        <w:footnoteRef/>
      </w:r>
      <w:r>
        <w:t xml:space="preserve">
          <w:r>
            <w:t xml:space="preserve">
              <w:r>
                <w:t xml:space="preserve"> “People” refers to the nation of Israel.</w:t>
              </w:r>
            </w:t>
          </w:r>
        </w:t>
      </w:r>
    </w:p>
  </w:footnote>
  <w:footnote w:id="15214">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1729">
    <w:p>
      <w:pPr>
        <w:pStyle w:val="FootnoteText"/>
      </w:pPr>
      <w:r>
        <w:rPr>
          <w:rStyle w:val="FootnoteReference"/>
        </w:rPr>
        <w:footnoteRef/>
      </w:r>
      <w:r>
        <w:t xml:space="preserve">
          <w:r>
            <w:t xml:space="preserve">
              <w:r>
                <w:t xml:space="preserve"> A denarius was a Roman coin equal to one day’s wage for a laborer.</w:t>
              </w:r>
            </w:t>
          </w:r>
        </w:t>
      </w:r>
    </w:p>
  </w:footnote>
  <w:footnote w:id="28939">
    <w:p>
      <w:pPr>
        <w:pStyle w:val="FootnoteText"/>
      </w:pPr>
      <w:r>
        <w:rPr>
          <w:rStyle w:val="FootnoteReference"/>
        </w:rPr>
        <w:footnoteRef/>
      </w:r>
      <w:r>
        <w:t xml:space="preserve">
          <w:r>
            <w:t xml:space="preserve">
              <w:r>
                <w:t xml:space="preserve"> From Zech. 13:7</w:t>
              </w:r>
            </w:t>
          </w:r>
        </w:t>
      </w:r>
    </w:p>
  </w:footnote>
  <w:footnote w:id="29307">
    <w:p>
      <w:pPr>
        <w:pStyle w:val="FootnoteText"/>
      </w:pPr>
      <w:r>
        <w:rPr>
          <w:rStyle w:val="FootnoteReference"/>
        </w:rPr>
        <w:footnoteRef/>
      </w:r>
      <w:r>
        <w:t xml:space="preserve">
          <w:r>
            <w:t xml:space="preserve">
              <w:r>
                <w:t xml:space="preserve"> Lit. “the Anointed One”</w:t>
              </w:r>
            </w:t>
          </w:r>
        </w:t>
      </w:r>
    </w:p>
  </w:footnote>
  <w:footnote w:id="26560">
    <w:p>
      <w:pPr>
        <w:pStyle w:val="FootnoteText"/>
      </w:pPr>
      <w:r>
        <w:rPr>
          <w:rStyle w:val="FootnoteReference"/>
        </w:rPr>
        <w:footnoteRef/>
      </w:r>
      <w:r>
        <w:t xml:space="preserve">
          <w:r>
            <w:t xml:space="preserve">
              <w:r>
                <w:t xml:space="preserve"> “Power” is a title referring to God.</w:t>
              </w:r>
            </w:t>
          </w:r>
        </w:t>
      </w:r>
    </w:p>
  </w:footnote>
  <w:footnote w:id="11008">
    <w:p>
      <w:pPr>
        <w:pStyle w:val="FootnoteText"/>
      </w:pPr>
      <w:r>
        <w:rPr>
          <w:rStyle w:val="FootnoteReference"/>
        </w:rPr>
        <w:footnoteRef/>
      </w:r>
      <w:r>
        <w:t xml:space="preserve">
          <w:r>
            <w:t xml:space="preserve">
              <w:r>
                <w:t xml:space="preserve"> Jesus is alluding to Ps. 110:1 and Dan. 7:13.</w:t>
              </w:r>
            </w:t>
          </w:r>
        </w:t>
      </w:r>
    </w:p>
  </w:footnote>
  <w:footnote w:id="30889">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1740">
    <w:p>
      <w:pPr>
        <w:pStyle w:val="FootnoteText"/>
      </w:pPr>
      <w:r>
        <w:rPr>
          <w:rStyle w:val="FootnoteReference"/>
        </w:rPr>
        <w:footnoteRef/>
      </w:r>
      <w:r>
        <w:t xml:space="preserve">
          <w:r>
            <w:t xml:space="preserve">
              <w:r>
                <w:t xml:space="preserve"> Lit. “the praetorium,” which refers to the headquarters or the residence of the Roman governor.</w:t>
              </w:r>
            </w:t>
          </w:r>
        </w:t>
      </w:r>
    </w:p>
  </w:footnote>
  <w:footnote w:id="31355">
    <w:p>
      <w:pPr>
        <w:pStyle w:val="FootnoteText"/>
      </w:pPr>
      <w:r>
        <w:rPr>
          <w:rStyle w:val="FootnoteReference"/>
        </w:rPr>
        <w:footnoteRef/>
      </w:r>
      <w:r>
        <w:t xml:space="preserve">
          <w:r>
            <w:t xml:space="preserve">
              <w:r>
                <w:t xml:space="preserve"> A cohort was normally 600 men.</w:t>
              </w:r>
            </w:t>
          </w:r>
        </w:t>
      </w:r>
    </w:p>
  </w:footnote>
  <w:footnote w:id="15186">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0635">
    <w:p>
      <w:pPr>
        <w:pStyle w:val="FootnoteText"/>
      </w:pPr>
      <w:r>
        <w:rPr>
          <w:rStyle w:val="FootnoteReference"/>
        </w:rPr>
        <w:footnoteRef/>
      </w:r>
      <w:r>
        <w:t xml:space="preserve">
          <w:r>
            <w:t xml:space="preserve">
              <w:r>
                <w:t xml:space="preserve"> About 9 a.m.</w:t>
              </w:r>
            </w:t>
          </w:r>
        </w:t>
      </w:r>
    </w:p>
  </w:footnote>
  <w:footnote w:id="30903">
    <w:p>
      <w:pPr>
        <w:pStyle w:val="FootnoteText"/>
      </w:pPr>
      <w:r>
        <w:rPr>
          <w:rStyle w:val="FootnoteReference"/>
        </w:rPr>
        <w:footnoteRef/>
      </w:r>
      <w:r>
        <w:t xml:space="preserve">
          <w:r>
            <w:t xml:space="preserve">
              <w:r>
                <w:t xml:space="preserve"> Lit. “the Anointed One”</w:t>
              </w:r>
            </w:t>
          </w:r>
        </w:t>
      </w:r>
    </w:p>
  </w:footnote>
  <w:footnote w:id="31313">
    <w:p>
      <w:pPr>
        <w:pStyle w:val="FootnoteText"/>
      </w:pPr>
      <w:r>
        <w:rPr>
          <w:rStyle w:val="FootnoteReference"/>
        </w:rPr>
        <w:footnoteRef/>
      </w:r>
      <w:r>
        <w:t xml:space="preserve">
          <w:r>
            <w:t xml:space="preserve">
              <w:r>
                <w:t xml:space="preserve"> About 12 p.m.</w:t>
              </w:r>
            </w:t>
          </w:r>
        </w:t>
      </w:r>
    </w:p>
  </w:footnote>
  <w:footnote w:id="22558">
    <w:p>
      <w:pPr>
        <w:pStyle w:val="FootnoteText"/>
      </w:pPr>
      <w:r>
        <w:rPr>
          <w:rStyle w:val="FootnoteReference"/>
        </w:rPr>
        <w:footnoteRef/>
      </w:r>
      <w:r>
        <w:t xml:space="preserve">
          <w:r>
            <w:t xml:space="preserve">
              <w:r>
                <w:t xml:space="preserve"> About 3 p.m.</w:t>
              </w:r>
            </w:t>
          </w:r>
        </w:t>
      </w:r>
    </w:p>
  </w:footnote>
  <w:footnote w:id="17328">
    <w:p>
      <w:pPr>
        <w:pStyle w:val="FootnoteText"/>
      </w:pPr>
      <w:r>
        <w:rPr>
          <w:rStyle w:val="FootnoteReference"/>
        </w:rPr>
        <w:footnoteRef/>
      </w:r>
      <w:r>
        <w:t xml:space="preserve">
          <w:r>
            <w:t xml:space="preserve">
              <w:r>
                <w:t xml:space="preserve"> From Ps. 22:1</w:t>
              </w:r>
            </w:t>
          </w:r>
        </w:t>
      </w:r>
    </w:p>
  </w:footnote>
  <w:footnote w:id="32232">
    <w:p>
      <w:pPr>
        <w:pStyle w:val="FootnoteText"/>
      </w:pPr>
      <w:r>
        <w:rPr>
          <w:rStyle w:val="FootnoteReference"/>
        </w:rPr>
        <w:footnoteRef/>
      </w:r>
      <w:r>
        <w:t xml:space="preserve">
          <w:r>
            <w:t xml:space="preserve">
              <w:r>
                <w:t xml:space="preserve"> Lit. “he breathed out”</w:t>
              </w:r>
            </w:t>
          </w:r>
        </w:t>
      </w:r>
    </w:p>
  </w:footnote>
  <w:footnote w:id="13979">
    <w:p>
      <w:pPr>
        <w:pStyle w:val="FootnoteText"/>
      </w:pPr>
      <w:r>
        <w:rPr>
          <w:rStyle w:val="FootnoteReference"/>
        </w:rPr>
        <w:footnoteRef/>
      </w:r>
      <w:r>
        <w:t xml:space="preserve">
          <w:r>
            <w:t xml:space="preserve">
              <w:r>
                <w:t xml:space="preserve"> Lit. “a prominent councilor,” meaning he was a member of the Sanhedrin, the ruling council of the Israelite people.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388527">
    <w:multiLevelType w:val="hybridMultilevel"/>
    <w:lvl w:ilvl="0" w:tplc="50443807">
      <w:start w:val="1"/>
      <w:numFmt w:val="decimal"/>
      <w:lvlText w:val="%1."/>
      <w:lvlJc w:val="left"/>
      <w:pPr>
        <w:ind w:left="720" w:hanging="360"/>
      </w:pPr>
    </w:lvl>
    <w:lvl w:ilvl="1" w:tplc="50443807" w:tentative="1">
      <w:start w:val="1"/>
      <w:numFmt w:val="lowerLetter"/>
      <w:lvlText w:val="%2."/>
      <w:lvlJc w:val="left"/>
      <w:pPr>
        <w:ind w:left="1440" w:hanging="360"/>
      </w:pPr>
    </w:lvl>
    <w:lvl w:ilvl="2" w:tplc="50443807" w:tentative="1">
      <w:start w:val="1"/>
      <w:numFmt w:val="lowerRoman"/>
      <w:lvlText w:val="%3."/>
      <w:lvlJc w:val="right"/>
      <w:pPr>
        <w:ind w:left="2160" w:hanging="180"/>
      </w:pPr>
    </w:lvl>
    <w:lvl w:ilvl="3" w:tplc="50443807" w:tentative="1">
      <w:start w:val="1"/>
      <w:numFmt w:val="decimal"/>
      <w:lvlText w:val="%4."/>
      <w:lvlJc w:val="left"/>
      <w:pPr>
        <w:ind w:left="2880" w:hanging="360"/>
      </w:pPr>
    </w:lvl>
    <w:lvl w:ilvl="4" w:tplc="50443807" w:tentative="1">
      <w:start w:val="1"/>
      <w:numFmt w:val="lowerLetter"/>
      <w:lvlText w:val="%5."/>
      <w:lvlJc w:val="left"/>
      <w:pPr>
        <w:ind w:left="3600" w:hanging="360"/>
      </w:pPr>
    </w:lvl>
    <w:lvl w:ilvl="5" w:tplc="50443807" w:tentative="1">
      <w:start w:val="1"/>
      <w:numFmt w:val="lowerRoman"/>
      <w:lvlText w:val="%6."/>
      <w:lvlJc w:val="right"/>
      <w:pPr>
        <w:ind w:left="4320" w:hanging="180"/>
      </w:pPr>
    </w:lvl>
    <w:lvl w:ilvl="6" w:tplc="50443807" w:tentative="1">
      <w:start w:val="1"/>
      <w:numFmt w:val="decimal"/>
      <w:lvlText w:val="%7."/>
      <w:lvlJc w:val="left"/>
      <w:pPr>
        <w:ind w:left="5040" w:hanging="360"/>
      </w:pPr>
    </w:lvl>
    <w:lvl w:ilvl="7" w:tplc="50443807" w:tentative="1">
      <w:start w:val="1"/>
      <w:numFmt w:val="lowerLetter"/>
      <w:lvlText w:val="%8."/>
      <w:lvlJc w:val="left"/>
      <w:pPr>
        <w:ind w:left="5760" w:hanging="360"/>
      </w:pPr>
    </w:lvl>
    <w:lvl w:ilvl="8" w:tplc="50443807" w:tentative="1">
      <w:start w:val="1"/>
      <w:numFmt w:val="lowerRoman"/>
      <w:lvlText w:val="%9."/>
      <w:lvlJc w:val="right"/>
      <w:pPr>
        <w:ind w:left="6480" w:hanging="180"/>
      </w:pPr>
    </w:lvl>
  </w:abstractNum>
  <w:abstractNum w:abstractNumId="29800">
    <w:multiLevelType w:val="hybridMultilevel"/>
    <w:lvl w:ilvl="0" w:tplc="765644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800">
    <w:abstractNumId w:val="29800"/>
  </w:num>
  <w:num w:numId="92388527">
    <w:abstractNumId w:val="923885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1002956" Type="http://schemas.openxmlformats.org/officeDocument/2006/relationships/numbering" Target="numbering.xml"/><Relationship Id="rId803079204" Type="http://schemas.openxmlformats.org/officeDocument/2006/relationships/comments" Target="comments.xml"/><Relationship Id="rId19906862ad604fe6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