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FootnoteReference"/>
        </w:rPr>
        <w:footnoteReference w:id="19156"/>
      </w:r>
      <w:r>
        <w:rPr/>
        <w:t xml:space="preserve"> Robert Bratcher says, “because of (or, through) the righteousness.”</w:t>
      </w:r>
      <w:r>
        <w:rPr>
          <w:rStyle w:val="FootnoteReference"/>
        </w:rPr>
        <w:footnoteReference w:id="10435"/>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25290"/>
        </w:numPr>
        <w:spacing w:before="0" w:after="0" w:line="240" w:lineRule="auto"/>
        <w:rPr/>
      </w:pPr>
      <w:r>
        <w:rPr/>
        <w:t xml:space="preserve">“of our God and </w:t>
      </w:r>
      <w:r>
        <w:rPr>
          <w:i/>
          <w:iCs/>
        </w:rPr>
        <w:t xml:space="preserve">the</w:t>
      </w:r>
      <w:r>
        <w:rPr/>
        <w:t xml:space="preserve"> Saviour Jesus Christ” (ASV)</w:t>
      </w:r>
    </w:p>
    <w:p>
      <w:pPr>
        <w:numPr>
          <w:ilvl w:val="0"/>
          <w:numId w:val="25290"/>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25290"/>
        </w:numPr>
        <w:spacing w:before="0" w:after="0" w:line="240" w:lineRule="auto"/>
        <w:rPr/>
      </w:pPr>
      <w:r>
        <w:rPr/>
        <w:t xml:space="preserve">“of our God and of our Deliverer Yeshua the Messiah” (CJB)</w:t>
      </w:r>
    </w:p>
    <w:p>
      <w:pPr>
        <w:numPr>
          <w:ilvl w:val="0"/>
          <w:numId w:val="25290"/>
        </w:numPr>
        <w:spacing w:before="0" w:after="0" w:line="240" w:lineRule="auto"/>
        <w:rPr/>
      </w:pPr>
      <w:r>
        <w:rPr/>
        <w:t xml:space="preserve">“of our God and of our Saviour Jesus Christ” (Weymouth)</w:t>
      </w:r>
    </w:p>
    <w:p>
      <w:pPr>
        <w:numPr>
          <w:ilvl w:val="0"/>
          <w:numId w:val="25290"/>
        </w:numPr>
        <w:spacing w:before="0" w:after="0" w:line="240" w:lineRule="auto"/>
        <w:rPr/>
      </w:pPr>
      <w:r>
        <w:rPr/>
        <w:t xml:space="preserve">“of our God, and [our] Saviour Jesus Christ” (Rotherham; margin)</w:t>
      </w:r>
    </w:p>
    <w:p>
      <w:pPr>
        <w:numPr>
          <w:ilvl w:val="0"/>
          <w:numId w:val="25290"/>
        </w:numPr>
        <w:spacing w:before="0" w:after="0" w:line="240" w:lineRule="auto"/>
        <w:rPr/>
      </w:pPr>
      <w:r>
        <w:rPr/>
        <w:t xml:space="preserve">“of God and our Savior Jesus Christ” (Noah Webster Bible)</w:t>
      </w:r>
    </w:p>
    <w:p>
      <w:pPr>
        <w:numPr>
          <w:ilvl w:val="0"/>
          <w:numId w:val="25290"/>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FootnoteReference"/>
        </w:rPr>
        <w:footnoteReference w:id="24589"/>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FootnoteReference"/>
        </w:rPr>
        <w:footnoteReference w:id="10151"/>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“you become partakers of the divine nature.”</w:t>
      </w:r>
      <w:r>
        <w:rPr/>
        <w:t xml:space="preserve"> When the text says “you become partakers,” it is not speaking of a future reality, as if the person becomes a partaker when Christ comes back. The person becomes a partaker now, in this life.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FootnoteReference"/>
        </w:rPr>
        <w:footnoteReference w:id="11114"/>
      </w:r>
      <w:r>
        <w:rPr/>
        <w:t xml:space="preserve"> Friberg uses the word “participant,” as does the </w:t>
      </w:r>
      <w:r>
        <w:rPr>
          <w:i/>
          <w:iCs/>
        </w:rPr>
        <w:t xml:space="preserve">TDNT</w:t>
      </w:r>
      <w:r>
        <w:rPr/>
        <w:t xml:space="preserve">.</w:t>
      </w:r>
      <w:r>
        <w:rPr>
          <w:rStyle w:val="FootnoteReference"/>
        </w:rPr>
        <w:footnoteReference w:id="23170"/>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 When a person confesses Christ as Lord and believes God raised him from the dead, at that very moment in time the person gets “born again” and gets God’s nature, holy spirit, which is God’s seal of ownership on/in them (see commentary on Eph. 1:13).</w:t>
      </w:r>
    </w:p>
    <w:p>
      <w:pPr>
        <w:pStyle w:val="rNormal"/>
        <w:widowControl w:val="on"/>
        <w:spacing w:before="240" w:after="240" w:line="240" w:lineRule="auto"/>
        <w:ind w:left="0" w:right="0"/>
        <w:jc w:val="left"/>
      </w:pPr>
      <w:r>
        <w:rPr/>
        <w:t xml:space="preserve">The new, holy nature inside a person changes the person from being “unholy” and dead in sin, to being “holy” and raised from the dead with Christ and, in God’s eyes, already seated in heaven with Christ (Eph. 2:5-6). It is because born-again Christians have a new holy nature that God calls them “holy ones,” which often gets translated as “saints” in most English versions (cf. Rom. 1:7). We are not “holy ones” because we live such holy lives; we are “holy ones” because we have the holy nature of God inside us. A holy God is our Father and we are his holy children.</w:t>
      </w:r>
    </w:p>
    <w:p>
      <w:pPr>
        <w:pStyle w:val="rNormal"/>
        <w:widowControl w:val="on"/>
        <w:spacing w:before="240" w:after="240" w:line="240" w:lineRule="auto"/>
        <w:ind w:left="0" w:right="0"/>
        <w:jc w:val="left"/>
      </w:pPr>
      <w:r>
        <w:rPr/>
        <w:t xml:space="preserve">[For more information on the New Birth, see commentary on 1 Pet. 1:3.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FootnoteReference"/>
        </w:rPr>
        <w:footnoteReference w:id="26463"/>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FootnoteReference"/>
        </w:rPr>
        <w:footnoteReference w:id="29633"/>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FootnoteReference"/>
        </w:rPr>
        <w:footnoteReference w:id="19256"/>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FootnoteReference"/>
        </w:rPr>
        <w:footnoteReference w:id="21628"/>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FootnoteReference"/>
        </w:rPr>
        <w:footnoteReference w:id="11856"/>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Many commentators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FootnoteReference"/>
        </w:rPr>
        <w:footnoteReference w:id="24278"/>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Word Study: “Psuchē.”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FootnoteReference"/>
        </w:rPr>
        <w:footnoteReference w:id="26724"/>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FootnoteReference"/>
        </w:rPr>
        <w:footnoteReference w:id="25642"/>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FootnoteReference"/>
        </w:rPr>
        <w:footnoteReference w:id="32635"/>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the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phrase “for if,” and the plural participle “having escaped,” connect the “they” in 2 Peter 2:20 with the new converts Peter was just discussing in 2 Peter 2:18-19.</w:t>
      </w:r>
    </w:p>
    <w:p>
      <w:pPr>
        <w:pStyle w:val="rNormal"/>
        <w:widowControl w:val="on"/>
        <w:spacing w:before="240" w:after="240" w:line="240" w:lineRule="auto"/>
        <w:ind w:left="0" w:right="0" w:firstLine="1"/>
        <w:jc w:val="left"/>
      </w:pPr>
      <w:r>
        <w:rPr>
          <w:b/>
          <w:bCs/>
        </w:rPr>
        <w:t xml:space="preserve">“after they.”</w:t>
      </w:r>
      <w:r>
        <w:rPr/>
        <w:t xml:space="preserve"> 2 Peter 2 and Jude cover much of the same material. In both Jude and 2 Peter, the Church has been infiltrated by ungodly men, and in both Jude and 2 Peter, these ungodly men are trying to pull church members away from God. In Jude it is clear that the ungodly men infiltrating the Church are not saved; they did not have the gift of holy spirit (Jude 1:19). Jude encourages the believers, saying “keep yourselves in the love of God…have mercy on those who are doubting, and save others by snatching them out of the fire” (Jude 1:21-23).</w:t>
      </w:r>
    </w:p>
    <w:p>
      <w:pPr>
        <w:pStyle w:val="rNormal"/>
        <w:widowControl w:val="on"/>
        <w:spacing w:before="240" w:after="240" w:line="240" w:lineRule="auto"/>
        <w:ind w:left="0" w:right="0"/>
        <w:jc w:val="left"/>
      </w:pPr>
      <w:r>
        <w:rPr/>
        <w:t xml:space="preserve">2 Peter is quite similar to Jude in that the ungodly men “entice, by </w:t>
      </w:r>
      <w:r>
        <w:rPr>
          <w:i/>
          <w:iCs/>
        </w:rPr>
        <w:t xml:space="preserve">appealing to</w:t>
      </w:r>
      <w:r>
        <w:rPr/>
        <w:t xml:space="preserve"> the desires of the flesh…those who have just escaped from the people who live in error” (2 Pet. 2:18), and Peter also encourages the believers to remain in the Faith and “be diligent to be found at peace, without spot or blemish in his sight” (2 Peter 3:14). However, unlike Jude, the wording in 2 Peter indicates that the ungodly men Peter is referring to are a mixed group. Some of the people were never saved, while some of them were believers but turned away from the Faith. They were lured away by their flesh and will follow the unrestrained behavior of the ungodly and are exploited by them (2 Peter 2:2-3). Apparently, the believers who turned away and rejected Christ were bought by the Master (2 Peter 2:1), and they forsook the “right way” and went astray (2 Pet. 2:15). Both Jude and Peter say these ungodly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A warning to Christians in Peter is that the ungodly people are trying to turn Christians away from the Christian Faith. 2 Peter 2:18-22 speaks about the attempt to turn believers who are recent converts to Christianity away from the Faith. One reason we know that Peter is speaking about new converts is that he uses the same language in verse 20 as he did in verse 18 to refer to new converts. In 2 Peter 2:18, he refers to the false teachers who are trying to “entice” these new converts who “have just escaped from people who live in error.” Likewise, in 2 Peter 2:20, he uses the same word, “escaped,” to describe these believers. The false teachers are not the new converts, the false teachers are trying to entice the new converts back into an ungodly lifestyle. Also, Peter speaks of the believers in 2 Peter 2:20-22 as having escaped the “defilements of the world,” which is important because Peter used the word “defilement” earlier in the chapter when he was describing unbelievers (2 Pet. 2:10). Thus, the ungodly are “defiled,” while the believers “escaped defilement.”</w:t>
      </w:r>
    </w:p>
    <w:p>
      <w:pPr>
        <w:pStyle w:val="rNormal"/>
        <w:widowControl w:val="on"/>
        <w:spacing w:before="240" w:after="240" w:line="240" w:lineRule="auto"/>
        <w:ind w:left="0" w:right="0"/>
        <w:jc w:val="left"/>
      </w:pPr>
      <w:r>
        <w:rPr/>
        <w:t xml:space="preserve">More evidence that Peter has in mind recently converted Christians as his subject in 2 Peter 2:20-22 is the term “knowledge of the Lord and Savior Jesus Christ” that occurs in 2 Peter 2:20. Peter uses the word “Lord,” a term appropriate for Christians who have confessed Jesus as Lord, and speaks of the knowledge of the Lord Jesus in four places in 2 Peter, and all of them are used in the context of Christians (2 Pet. 1:2, 8; 2:20; 3:18). In 2 Peter 1:2, it is those who are Christians who obtain “grace and peace...through the knowledge of God and of Jesus our Lord.” Then, 2 Peter 1:8 speaks of practices that “will keep you from being ineffective or unfruitful in the knowledge of our Lord Jesus Christ.” Then, 2 Peter 3:18 encourages believers to “grow in the grace and knowledge of our Lord and Savior Jesus Christ.”</w:t>
      </w:r>
    </w:p>
    <w:p>
      <w:pPr>
        <w:pStyle w:val="rNormal"/>
        <w:widowControl w:val="on"/>
        <w:spacing w:before="240" w:after="240" w:line="240" w:lineRule="auto"/>
        <w:ind w:left="0" w:right="0"/>
        <w:jc w:val="left"/>
      </w:pPr>
      <w:r>
        <w:rPr/>
        <w:t xml:space="preserve">It is also noteworthy that when Peter speaks of the “knowledge” of the Lord Jesus Christ, the Greek word translated as “knowledge” is </w:t>
      </w:r>
      <w:r>
        <w:rPr>
          <w:i/>
          <w:iCs/>
        </w:rPr>
        <w:t xml:space="preserve">epignōsis</w:t>
      </w:r>
      <w:r>
        <w:rPr/>
        <w:t xml:space="preserve"> (#1922 ἐπίγνωσις), which usually refers to an experiential knowledge, not just a “head-knowledge.” We see that in 2 Peter 2:20, because the way the Christians escaped ungodliness was “through the knowledge of the Lord and Savior Jesus Christ.” To escape ungodliness requires a lot more than just “knowing” what ungodly behavior is; it takes a diligent effort to deny our sin nature and sinful feelings and live a godly lifestyle. Here in 2 Peter 2:20, the word “knowledge” includes both head-knowledge about Jesus and how to behave, and the effort it takes to live a godly life in the Roman pagan world.</w:t>
      </w:r>
    </w:p>
    <w:p>
      <w:pPr>
        <w:pStyle w:val="rNormal"/>
        <w:widowControl w:val="on"/>
        <w:spacing w:before="240" w:after="240" w:line="240" w:lineRule="auto"/>
        <w:ind w:left="0" w:right="0"/>
        <w:jc w:val="left"/>
      </w:pPr>
      <w:r>
        <w:rPr/>
        <w:t xml:space="preserve">Even more evidence that 2 Peter 2:20 is discussing Christians is that Peter speaks of the danger of them “turning back from the holy commandment” (2 Peter 2:21). Then, two verses later (2 Peter 3:1-2), Peter calls these people “beloved” and says that the reason for writing his epistle in the first place was to stir up their minds so they remember the words of the prophets and the “commandment” of the Lord and Savior. By the opening of 2 Peter 3, Peter is writing to all the believers, but these new converts are included—there has been no change of context that would exclude them; in fact, quite the opposite is the case.</w:t>
      </w:r>
    </w:p>
    <w:p>
      <w:pPr>
        <w:pStyle w:val="rNormal"/>
        <w:widowControl w:val="on"/>
        <w:spacing w:before="240" w:after="240" w:line="240" w:lineRule="auto"/>
        <w:ind w:left="0" w:right="0"/>
        <w:jc w:val="left"/>
      </w:pPr>
      <w:r>
        <w:rPr/>
        <w:t xml:space="preserve">From the reading of the text and the above evidence, we can see that in 2 Peter 2:1-17, Peter is addressing ungodly people. Then, in 2 Peter 2:18-19, he introduces the subject of the ungodly people trying to get new converts to abandon their Christianity and return to pagan ways. Then, in 2 Peter 2:20-22, Peter issues a stern warning to Christians not to become entangled again in the defilements of the world and overcome (defeated), and warns them that if they turn back from the holy commandment it will be worse for them than if they had never known the way of righteousness in the first place.</w:t>
      </w:r>
    </w:p>
    <w:p>
      <w:pPr>
        <w:pStyle w:val="rNormal"/>
        <w:widowControl w:val="on"/>
        <w:spacing w:before="240" w:after="240" w:line="240" w:lineRule="auto"/>
        <w:ind w:left="0" w:right="0"/>
        <w:jc w:val="left"/>
      </w:pPr>
      <w:r>
        <w:rPr/>
        <w:t xml:space="preserve">Peter is urging them to remain faithful, “so that you are not led astray by the error of immoral people and fall from your own steadfast position” (2 Pet. 3:17).</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As mentioned above, this phrase provides evidence as to why the “they” is referring to new converts, not the false teachers who are also mentioned in the context. False teachers have not “escaped from the defilements of the world,” because they are still living in them. In contrast, the believers had “escaped” from the ungodly people and the sins those ungodly people were committing, so now these new converts needed to be faithful so they were not sucked back into the ungodly world.</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FootnoteReference"/>
        </w:rPr>
        <w:footnoteReference w:id="13876"/>
      </w:r>
      <w:r>
        <w:rPr/>
        <w:t xml:space="preserve"> It is safe to say that these new converts had fled both the shameful deeds and the defilements that those deeds caused.</w:t>
      </w:r>
    </w:p>
    <w:p>
      <w:pPr>
        <w:pStyle w:val="rNormal"/>
        <w:widowControl w:val="on"/>
        <w:spacing w:before="240" w:after="240" w:line="240" w:lineRule="auto"/>
        <w:ind w:left="0" w:right="0"/>
        <w:jc w:val="left"/>
      </w:pPr>
      <w:r>
        <w:rPr/>
        <w:t xml:space="preserve">While it is true that Peter did not use a more common expression to refer to becoming a genuine Christian such as, “saved” (1 Pet. 1:9; 4:18), “born again” (1 Pet. 1:23), “new birth” (1 Pet. 1:3), “redeemed” (1 Pet. 1:18), or even a whole phrase that described the state of being saved (cf. 1 Pet. 1:13), this does not necessarily mean he is not communicating that these people were saved. We must look at how he uses this term. As mentioned above, Peter uses the term “defilement” in 2 Peter 2:10 to describe the unrighteous, so, if here in 2 Peter 2:20 he says that the people have escaped from “the defilements of the world,” the most natural way to understand that would be that they have become Christians, because non-Christians in no sense have, “escaped from the defilements of the world,” they are still living in those defilements.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As mentioned above, this phrase communicates that these people being referred to had become Christians. This knowledge being referred to is not just head knowledge but a knowledge that has come into the hearts of these new converts and is visible in how they live. Although there are people who hear the teachings of Jesus and improve their lives yet never give their hearts to Jesus and become saved, the evidence is that the people Peter is warning in 2 Peter 2:20-22 are not like that.</w:t>
      </w:r>
    </w:p>
    <w:p>
      <w:pPr>
        <w:pStyle w:val="rNormal"/>
        <w:widowControl w:val="on"/>
        <w:spacing w:before="240" w:after="240" w:line="240" w:lineRule="auto"/>
        <w:ind w:left="0" w:right="0" w:firstLine="1"/>
        <w:jc w:val="left"/>
      </w:pPr>
      <w:r>
        <w:rPr>
          <w:b/>
          <w:bCs/>
        </w:rPr>
        <w:t xml:space="preserve">“again entangled in them and overcome.”</w:t>
      </w:r>
      <w:r>
        <w:rPr/>
        <w:t xml:space="preserve"> This statement makes it very clear as to who Peter is warning: Christians who become “again entangled in them [the defilements of the world] and overcome.” If after becoming free (“having escaped”) from the defilements of the world, a believer gets caught up in them and overcome, then the consequence “the last state has become worse for them than the first” becomes applicable. The key here is the final word in Peter’s warning. The Christian must guard himself against being “overcome” (#2274 ἡττάομαι, </w:t>
      </w:r>
      <w:r>
        <w:rPr>
          <w:i/>
          <w:iCs/>
        </w:rPr>
        <w:t xml:space="preserve">hēttaomai</w:t>
      </w:r>
      <w:r>
        <w:rPr/>
        <w:t xml:space="preserve">), which means “defeated,”</w:t>
      </w:r>
      <w:r>
        <w:rPr>
          <w:rStyle w:val="FootnoteReference"/>
        </w:rPr>
        <w:footnoteReference w:id="13141"/>
      </w:r>
      <w:r>
        <w:rPr/>
        <w:t xml:space="preserve"> or “conquered.”</w:t>
      </w:r>
      <w:r>
        <w:rPr>
          <w:rStyle w:val="FootnoteReference"/>
        </w:rPr>
        <w:footnoteReference w:id="31746"/>
      </w:r>
      <w:r>
        <w:rPr/>
        <w:t xml:space="preserve">It is not true that Christians never again get entangled and defeated by the defilements of the world after becoming born again. The battle against sin continues within the heart of every Christian, and it is not uncommon for Christians to get caught up in sin for a period of time (whether short or long). The issue that Peter is addressing is those Christians who get entangled again in sin and then “overcome.” One way to think of the imagery that Peter seems to be setting forth is one of sin being like a giant spider’s web that a person wanders back into and gets all tangled up in. But if the person gets so entangled that they are then dominated by sin, they can then be said to be “overcome” (or “defeated, conquered”). The idea of being mastered (i.e., dominated) by sin is a common theme in the NT (cf. Rom. 6:12-19; Titus 3:3). Sin is a slave master, and if you do what it wants, then you are a slave of sin (2 Pet. 2:19; Rom. 6:17). For those Christians who allow themselves to wander back into sin to the point that they completely give in to its power to the point that it has mastery over them, then the sobering consequence that they are worse off than before they became free proves to be true.</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The evidence in the text best supports that the people Peter is referring to in 2 Peter 2:20-22 are Christians, and the warning is that they should not turn away from the Lord and forfeit their salvation. Admittedly, while Peter doesn’t use terms like “saved” or “born again,” the language he uses is clear enough to understand that this is what he means.</w:t>
      </w:r>
    </w:p>
    <w:p>
      <w:pPr>
        <w:pStyle w:val="rNormal"/>
        <w:widowControl w:val="on"/>
        <w:spacing w:before="240" w:after="240" w:line="240" w:lineRule="auto"/>
        <w:ind w:left="0" w:right="0"/>
        <w:jc w:val="left"/>
      </w:pPr>
      <w:r>
        <w:rPr/>
        <w:t xml:space="preserve">People who have believed the truth and become free from the defilements of the world but then turn away from the truth will be worse off on the Day of Judgment than people who have never heard. This fits what Jesus taught in Luke 12:47-48: “And that servant who knew his lord’s will but did not get ready, nor do according to his will, will be beaten with many </w:t>
      </w:r>
      <w:r>
        <w:rPr>
          <w:i/>
          <w:iCs/>
        </w:rPr>
        <w:t xml:space="preserve">stripes</w:t>
      </w:r>
      <w:r>
        <w:rPr/>
        <w:t xml:space="preserve">, but the one who did not know, but did things worthy of stripes, will be beaten with few </w:t>
      </w:r>
      <w:r>
        <w:rPr>
          <w:i/>
          <w:iCs/>
        </w:rPr>
        <w:t xml:space="preserve">stripes</w:t>
      </w:r>
      <w:r>
        <w:rPr/>
        <w:t xml:space="preserve">. Everyone to whom much was given, from that one much will be required.”</w:t>
      </w:r>
    </w:p>
    <w:p>
      <w:pPr>
        <w:pStyle w:val="rNormal"/>
        <w:widowControl w:val="on"/>
        <w:spacing w:before="240" w:after="240" w:line="240" w:lineRule="auto"/>
        <w:ind w:left="0" w:right="0"/>
        <w:jc w:val="left"/>
      </w:pPr>
      <w:r>
        <w:rPr/>
        <w:t xml:space="preserve">The wages of sin is death (Rom. 6:23; cf. John 3:16), so the way a person is worse off if they believe the truth but then later fall away from obeying it is that the time they spend in the Lake of Fire will be proportional to their sin (Rom. 2:5-6). In the same way that there are different rewards for Christians based upon what they have done in this life, the unsaved suffer in the Lake of Fire for different amounts of time based upon the sin they have committed in this life. This aligns with 2 Peter 2:20 which teaches that those who deny the truth deserve a greater punishment than if they had never heard it. Although the traditional teaching of the Church that people “go to hell and burn forever” is not what Scripture actually teaches. People suffer in the Lake of Fire in proportion to the sin they have committed, and then they are destroyed forever.</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FootnoteReference"/>
        </w:rPr>
        <w:footnoteReference w:id="28092"/>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FootnoteReference"/>
        </w:rPr>
        <w:footnoteReference w:id="13344"/>
      </w:r>
      <w:r>
        <w:rPr/>
        <w:t xml:space="preserve"> </w:t>
      </w:r>
      <w:r>
        <w:rPr>
          <w:i/>
          <w:iCs/>
        </w:rPr>
        <w:t xml:space="preserve">The Expositor’s Bible Commentary</w:t>
      </w:r>
      <w:r>
        <w:rPr/>
        <w:t xml:space="preserve"> also notes that “fathers” referring to the Old Testament fathers, is normal biblical usage.</w:t>
      </w:r>
      <w:r>
        <w:rPr>
          <w:rStyle w:val="FootnoteReference"/>
        </w:rPr>
        <w:footnoteReference w:id="32111"/>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FootnoteReference"/>
        </w:rPr>
        <w:footnoteReference w:id="10162"/>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FootnoteReference"/>
        </w:rPr>
        <w:footnoteReference w:id="10107"/>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That is the sense here. The word “Scriptures” is plural. Cf. Lenski</w:t>
      </w:r>
      <w:r>
        <w:rPr>
          <w:rStyle w:val="FootnoteReference"/>
        </w:rPr>
        <w:footnoteReference w:id="18071"/>
      </w:r>
      <w:r>
        <w:rPr/>
        <w:t xml:space="preserve"> and the NASB.</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FootnoteReference"/>
        </w:rPr>
        <w:footnoteReference w:id="24585"/>
      </w:r>
      <w:r>
        <w:rPr/>
        <w:t xml:space="preserve"> Thayer says, “firm condition, steadfastness: of mind.”</w:t>
      </w:r>
      <w:r>
        <w:rPr>
          <w:rStyle w:val="FootnoteReference"/>
        </w:rPr>
        <w:footnoteReference w:id="32333"/>
      </w:r>
      <w:r>
        <w:rPr/>
        <w:t xml:space="preserve"> Friberg says “steadfastness, perseverance, firm position, as a state of inner stability.”</w:t>
      </w:r>
      <w:r>
        <w:rPr>
          <w:rStyle w:val="FootnoteReference"/>
        </w:rPr>
        <w:footnoteReference w:id="12218"/>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47906862ad770633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428588"/>
      <w:docPartObj>
        <w:docPartGallery w:val="Page Numbers (Bottom of Page)"/>
        <w:docPartUnique/>
      </w:docPartObj>
    </w:sdtPr>
    <w:sdtContent>
      <w:sdt>
        <w:sdtPr>
          <w:id w:val="8310968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156">
    <w:p>
      <w:pPr>
        <w:pStyle w:val="FootnoteText"/>
      </w:pPr>
      <w:r>
        <w:rPr>
          <w:rStyle w:val="FootnoteReference"/>
        </w:rPr>
        <w:footnoteRef/>
      </w:r>
      <w:r>
        <w:t xml:space="preserve">
          <w:r>
            <w:t xml:space="preserve">
              <w:r>
                <w:t xml:space="preserve"> BDAG </w:t>
              </w:r>
              <w:r>
                <w:rPr>
                  <w:i/>
                </w:rPr>
                <w:t xml:space="preserve">Greek-English Lexicon</w:t>
              </w:r>
              <w:r>
                <w:t xml:space="preserve">, s.v. “ἐν,” def. 9.</w:t>
              </w:r>
            </w:t>
          </w:r>
        </w:t>
      </w:r>
    </w:p>
  </w:footnote>
  <w:footnote w:id="10435">
    <w:p>
      <w:pPr>
        <w:pStyle w:val="FootnoteText"/>
      </w:pPr>
      <w:r>
        <w:rPr>
          <w:rStyle w:val="FootnoteReference"/>
        </w:rPr>
        <w:footnoteRef/>
      </w:r>
      <w:r>
        <w:t xml:space="preserve">
          <w:r>
            <w:t xml:space="preserve">
              <w:r>
                <w:t xml:space="preserve"> Bratcher, </w:t>
              </w:r>
              <w:r>
                <w:rPr>
                  <w:i/>
                </w:rPr>
                <w:t xml:space="preserve">A Translator’s Guide to the Letters From James, Peter, and Jude</w:t>
              </w:r>
              <w:r>
                <w:t xml:space="preserve">, 134.</w:t>
              </w:r>
            </w:t>
          </w:r>
        </w:t>
      </w:r>
    </w:p>
  </w:footnote>
  <w:footnote w:id="24589">
    <w:p>
      <w:pPr>
        <w:pStyle w:val="FootnoteText"/>
      </w:pPr>
      <w:r>
        <w:rPr>
          <w:rStyle w:val="FootnoteReference"/>
        </w:rPr>
        <w:footnoteRef/>
      </w:r>
      <w:r>
        <w:t xml:space="preserve">
          <w:r>
            <w:t xml:space="preserve">
              <w:r>
                <w:t xml:space="preserve"> Magiera; cf. Etheridge; and Murdock.</w:t>
              </w:r>
            </w:t>
          </w:r>
        </w:t>
      </w:r>
    </w:p>
  </w:footnote>
  <w:footnote w:id="10151">
    <w:p>
      <w:pPr>
        <w:pStyle w:val="FootnoteText"/>
      </w:pPr>
      <w:r>
        <w:rPr>
          <w:rStyle w:val="FootnoteReference"/>
        </w:rPr>
        <w:footnoteRef/>
      </w:r>
      <w:r>
        <w:t xml:space="preserve">
          <w:r>
            <w:t xml:space="preserve">
              <w:r>
                <w:t xml:space="preserve"> R. Bratcher, </w:t>
              </w:r>
              <w:r>
                <w:rPr>
                  <w:i/>
                </w:rPr>
                <w:t xml:space="preserve">A Translator’s Guide to the Letters from James, Peter, and Jude</w:t>
              </w:r>
              <w:r>
                <w:t xml:space="preserve">, 136.</w:t>
              </w:r>
            </w:t>
          </w:r>
        </w:t>
      </w:r>
    </w:p>
  </w:footnote>
  <w:footnote w:id="11114">
    <w:p>
      <w:pPr>
        <w:pStyle w:val="FootnoteText"/>
      </w:pPr>
      <w:r>
        <w:rPr>
          <w:rStyle w:val="FootnoteReference"/>
        </w:rPr>
        <w:footnoteRef/>
      </w:r>
      <w:r>
        <w:t xml:space="preserve">
          <w:r>
            <w:t xml:space="preserve">
              <w:r>
                <w:t xml:space="preserve"> Thayer, s.v. “κοινωνός.”</w:t>
              </w:r>
            </w:t>
          </w:r>
        </w:t>
      </w:r>
    </w:p>
  </w:footnote>
  <w:footnote w:id="23170">
    <w:p>
      <w:pPr>
        <w:pStyle w:val="FootnoteText"/>
      </w:pPr>
      <w:r>
        <w:rPr>
          <w:rStyle w:val="FootnoteReference"/>
        </w:rPr>
        <w:footnoteRef/>
      </w:r>
      <w:r>
        <w:t xml:space="preserve">
          <w:r>
            <w:t xml:space="preserve">
              <w:r>
                <w:t xml:space="preserve"> Friberg, s.v. “κοινωνός;” Bromiley, </w:t>
              </w:r>
              <w:r>
                <w:rPr>
                  <w:i/>
                </w:rPr>
                <w:t xml:space="preserve">Theological Dictionary of the New Testament</w:t>
              </w:r>
              <w:r>
                <w:t xml:space="preserve">, s.v. “κοινωνός.”</w:t>
              </w:r>
            </w:t>
          </w:r>
        </w:t>
      </w:r>
    </w:p>
  </w:footnote>
  <w:footnote w:id="26463">
    <w:p>
      <w:pPr>
        <w:pStyle w:val="FootnoteText"/>
      </w:pPr>
      <w:r>
        <w:rPr>
          <w:rStyle w:val="FootnoteReference"/>
        </w:rPr>
        <w:footnoteRef/>
      </w:r>
      <w:r>
        <w:t xml:space="preserve">
          <w:r>
            <w:t xml:space="preserve">
              <w:r>
                <w:t xml:space="preserve"> BDAG, s.v. “σοφίζω.”</w:t>
              </w:r>
            </w:t>
          </w:r>
        </w:t>
      </w:r>
    </w:p>
  </w:footnote>
  <w:footnote w:id="29633">
    <w:p>
      <w:pPr>
        <w:pStyle w:val="FootnoteText"/>
      </w:pPr>
      <w:r>
        <w:rPr>
          <w:rStyle w:val="FootnoteReference"/>
        </w:rPr>
        <w:footnoteRef/>
      </w:r>
      <w:r>
        <w:t xml:space="preserve">
          <w:r>
            <w:t xml:space="preserve">
              <w:r>
                <w:t xml:space="preserve"> Also see Gene L. Green, </w:t>
              </w:r>
              <w:r>
                <w:rPr>
                  <w:i/>
                </w:rPr>
                <w:t xml:space="preserve">Jude and 2 Peter</w:t>
              </w:r>
              <w:r>
                <w:t xml:space="preserve"> [BECNT].</w:t>
              </w:r>
            </w:t>
          </w:r>
        </w:t>
      </w:r>
    </w:p>
  </w:footnote>
  <w:footnote w:id="19256">
    <w:p>
      <w:pPr>
        <w:pStyle w:val="FootnoteText"/>
      </w:pPr>
      <w:r>
        <w:rPr>
          <w:rStyle w:val="FootnoteReference"/>
        </w:rPr>
        <w:footnoteRef/>
      </w:r>
      <w:r>
        <w:t xml:space="preserve">
          <w:r>
            <w:t xml:space="preserve">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t>
          </w:r>
        </w:t>
      </w:r>
    </w:p>
  </w:footnote>
  <w:footnote w:id="21628">
    <w:p>
      <w:pPr>
        <w:pStyle w:val="FootnoteText"/>
      </w:pPr>
      <w:r>
        <w:rPr>
          <w:rStyle w:val="FootnoteReference"/>
        </w:rPr>
        <w:footnoteRef/>
      </w:r>
      <w:r>
        <w:t xml:space="preserve">
          <w:r>
            <w:t xml:space="preserve">
              <w:r>
                <w:t xml:space="preserve"> Pierre Grimal, </w:t>
              </w:r>
              <w:r>
                <w:rPr>
                  <w:i/>
                </w:rPr>
                <w:t xml:space="preserve">The Dictionary of Classical Mythology</w:t>
              </w:r>
              <w:r>
                <w:t xml:space="preserve">, 433.</w:t>
              </w:r>
            </w:t>
          </w:r>
        </w:t>
      </w:r>
    </w:p>
  </w:footnote>
  <w:footnote w:id="11856">
    <w:p>
      <w:pPr>
        <w:pStyle w:val="FootnoteText"/>
      </w:pPr>
      <w:r>
        <w:rPr>
          <w:rStyle w:val="FootnoteReference"/>
        </w:rPr>
        <w:footnoteRef/>
      </w:r>
      <w:r>
        <w:t xml:space="preserve">
          <w:r>
            <w:t xml:space="preserve">
              <w:r>
                <w:t xml:space="preserve"> Thomas Schreiner, </w:t>
              </w:r>
              <w:r>
                <w:rPr>
                  <w:i/>
                </w:rPr>
                <w:t xml:space="preserve">1, 2 Peter, Jude</w:t>
              </w:r>
              <w:r>
                <w:t xml:space="preserve"> [NAC]. See also Gene L. Green, </w:t>
              </w:r>
              <w:r>
                <w:rPr>
                  <w:i/>
                </w:rPr>
                <w:t xml:space="preserve">Jude and 2 Peter</w:t>
              </w:r>
              <w:r>
                <w:t xml:space="preserve"> [BECNT].</w:t>
              </w:r>
            </w:t>
          </w:r>
        </w:t>
      </w:r>
    </w:p>
  </w:footnote>
  <w:footnote w:id="2427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322</w:t>
              </w:r>
              <w:r>
                <w:rPr>
                  <w:b/>
                </w:rPr>
                <w:t xml:space="preserve">.</w:t>
              </w:r>
              <w:r>
                <w:t xml:space="preserve"/>
              </w:r>
            </w:t>
          </w:r>
        </w:t>
      </w:r>
    </w:p>
  </w:footnote>
  <w:footnote w:id="26724">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323.</w:t>
              </w:r>
            </w:t>
          </w:r>
        </w:t>
      </w:r>
    </w:p>
  </w:footnote>
  <w:footnote w:id="25642">
    <w:p>
      <w:pPr>
        <w:pStyle w:val="FootnoteText"/>
      </w:pPr>
      <w:r>
        <w:rPr>
          <w:rStyle w:val="FootnoteReference"/>
        </w:rPr>
        <w:footnoteRef/>
      </w:r>
      <w:r>
        <w:t xml:space="preserve">
          <w:r>
            <w:t xml:space="preserve">
              <w:r>
                <w:t xml:space="preserve"> Cf. Richard Bauckham, </w:t>
              </w:r>
              <w:r>
                <w:rPr>
                  <w:i/>
                </w:rPr>
                <w:t xml:space="preserve">Jude, 2 Peter</w:t>
              </w:r>
              <w:r>
                <w:t xml:space="preserve"> [WBC].</w:t>
              </w:r>
            </w:t>
          </w:r>
        </w:t>
      </w:r>
    </w:p>
  </w:footnote>
  <w:footnote w:id="32635">
    <w:p>
      <w:pPr>
        <w:pStyle w:val="FootnoteText"/>
      </w:pPr>
      <w:r>
        <w:rPr>
          <w:rStyle w:val="FootnoteReference"/>
        </w:rPr>
        <w:footnoteRef/>
      </w:r>
      <w:r>
        <w:t xml:space="preserve">
          <w:r>
            <w:t xml:space="preserve">
              <w:r>
                <w:t xml:space="preserve"> Cf. Norman Hillyer, </w:t>
              </w:r>
              <w:r>
                <w:rPr>
                  <w:i/>
                </w:rPr>
                <w:t xml:space="preserve">1 and 2 Peter, Jude</w:t>
              </w:r>
              <w:r>
                <w:t xml:space="preserve"> [NIBCNT], 201; Liddell and Scott, </w:t>
              </w:r>
              <w:r>
                <w:rPr>
                  <w:i/>
                </w:rPr>
                <w:t xml:space="preserve">Greek-English Lexicon</w:t>
              </w:r>
              <w:r>
                <w:t xml:space="preserve">.</w:t>
              </w:r>
            </w:t>
          </w:r>
        </w:t>
      </w:r>
    </w:p>
  </w:footnote>
  <w:footnote w:id="13876">
    <w:p>
      <w:pPr>
        <w:pStyle w:val="FootnoteText"/>
      </w:pPr>
      <w:r>
        <w:rPr>
          <w:rStyle w:val="FootnoteReference"/>
        </w:rPr>
        <w:footnoteRef/>
      </w:r>
      <w:r>
        <w:t xml:space="preserve">
          <w:r>
            <w:t xml:space="preserve">
              <w:r>
                <w:t xml:space="preserve"> BDAG, s.v. “μίασμα.”</w:t>
              </w:r>
            </w:t>
          </w:r>
        </w:t>
      </w:r>
    </w:p>
  </w:footnote>
  <w:footnote w:id="13141">
    <w:p>
      <w:pPr>
        <w:pStyle w:val="FootnoteText"/>
      </w:pPr>
      <w:r>
        <w:rPr>
          <w:rStyle w:val="FootnoteReference"/>
        </w:rPr>
        <w:footnoteRef/>
      </w:r>
      <w:r>
        <w:t xml:space="preserve">
          <w:r>
            <w:t xml:space="preserve">
              <w:r>
                <w:t xml:space="preserve"> BDAG, s.v. “ἡττάομαι.”</w:t>
              </w:r>
            </w:t>
          </w:r>
        </w:t>
      </w:r>
    </w:p>
  </w:footnote>
  <w:footnote w:id="31746">
    <w:p>
      <w:pPr>
        <w:pStyle w:val="FootnoteText"/>
      </w:pPr>
      <w:r>
        <w:rPr>
          <w:rStyle w:val="FootnoteReference"/>
        </w:rPr>
        <w:footnoteRef/>
      </w:r>
      <w:r>
        <w:t xml:space="preserve">
          <w:r>
            <w:t xml:space="preserve">
              <w:r>
                <w:t xml:space="preserve"> Louw and Nida, s.v. “ἡττάομαι.”</w:t>
              </w:r>
            </w:t>
          </w:r>
        </w:t>
      </w:r>
    </w:p>
  </w:footnote>
  <w:footnote w:id="28092">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3344">
    <w:p>
      <w:pPr>
        <w:pStyle w:val="FootnoteText"/>
      </w:pPr>
      <w:r>
        <w:rPr>
          <w:rStyle w:val="FootnoteReference"/>
        </w:rPr>
        <w:footnoteRef/>
      </w:r>
      <w:r>
        <w:t xml:space="preserve">
          <w:r>
            <w:t xml:space="preserve">
              <w:r>
                <w:t xml:space="preserve"> Dick Lucas and Christopher Green, </w:t>
              </w:r>
              <w:r>
                <w:rPr>
                  <w:i/>
                </w:rPr>
                <w:t xml:space="preserve">The Message of 2 Peter and Jude</w:t>
              </w:r>
              <w:r>
                <w:t xml:space="preserve"> [BST].</w:t>
              </w:r>
            </w:t>
          </w:r>
        </w:t>
      </w:r>
    </w:p>
  </w:footnote>
  <w:footnote w:id="32111">
    <w:p>
      <w:pPr>
        <w:pStyle w:val="FootnoteText"/>
      </w:pPr>
      <w:r>
        <w:rPr>
          <w:rStyle w:val="FootnoteReference"/>
        </w:rPr>
        <w:footnoteRef/>
      </w:r>
      <w:r>
        <w:t xml:space="preserve">
          <w:r>
            <w:t xml:space="preserve">
              <w:r>
                <w:t xml:space="preserve"> Gaebelein, </w:t>
              </w:r>
              <w:r>
                <w:rPr>
                  <w:i/>
                </w:rPr>
                <w:t xml:space="preserve">The Expositor’s Bible Commentary</w:t>
              </w:r>
              <w:r>
                <w:t xml:space="preserve">.</w:t>
              </w:r>
            </w:t>
          </w:r>
        </w:t>
      </w:r>
    </w:p>
  </w:footnote>
  <w:footnote w:id="10162">
    <w:p>
      <w:pPr>
        <w:pStyle w:val="FootnoteText"/>
      </w:pPr>
      <w:r>
        <w:rPr>
          <w:rStyle w:val="FootnoteReference"/>
        </w:rPr>
        <w:footnoteRef/>
      </w:r>
      <w:r>
        <w:t xml:space="preserve">
          <w:r>
            <w:t xml:space="preserve">
              <w:r>
                <w:t xml:space="preserve"> Richard Bauckham, </w:t>
              </w:r>
              <w:r>
                <w:rPr>
                  <w:i/>
                </w:rPr>
                <w:t xml:space="preserve">2 Peter and Jude</w:t>
              </w:r>
              <w:r>
                <w:t xml:space="preserve"> [WBC].</w:t>
              </w:r>
            </w:t>
          </w:r>
        </w:t>
      </w:r>
    </w:p>
  </w:footnote>
  <w:footnote w:id="1010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356.</w:t>
              </w:r>
            </w:t>
          </w:r>
        </w:t>
      </w:r>
    </w:p>
  </w:footnote>
  <w:footnote w:id="18071">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363-64.</w:t>
              </w:r>
            </w:t>
          </w:r>
        </w:t>
      </w:r>
    </w:p>
  </w:footnote>
  <w:footnote w:id="24585">
    <w:p>
      <w:pPr>
        <w:pStyle w:val="FootnoteText"/>
      </w:pPr>
      <w:r>
        <w:rPr>
          <w:rStyle w:val="FootnoteReference"/>
        </w:rPr>
        <w:footnoteRef/>
      </w:r>
      <w:r>
        <w:t xml:space="preserve">
          <w:r>
            <w:t xml:space="preserve">
              <w:r>
                <w:t xml:space="preserve"> BDAG </w:t>
              </w:r>
              <w:r>
                <w:rPr>
                  <w:i/>
                </w:rPr>
                <w:t xml:space="preserve">Greek-English Lexicon</w:t>
              </w:r>
              <w:r>
                <w:t xml:space="preserve">, s.v. “στηριγμός.”</w:t>
              </w:r>
            </w:t>
          </w:r>
        </w:t>
      </w:r>
    </w:p>
  </w:footnote>
  <w:footnote w:id="32333">
    <w:p>
      <w:pPr>
        <w:pStyle w:val="FootnoteText"/>
      </w:pPr>
      <w:r>
        <w:rPr>
          <w:rStyle w:val="FootnoteReference"/>
        </w:rPr>
        <w:footnoteRef/>
      </w:r>
      <w:r>
        <w:t xml:space="preserve">
          <w:r>
            <w:t xml:space="preserve">
              <w:r>
                <w:t xml:space="preserve"> Thayer, </w:t>
              </w:r>
              <w:r>
                <w:rPr>
                  <w:i/>
                </w:rPr>
                <w:t xml:space="preserve">Greek-English Lexicon</w:t>
              </w:r>
              <w:r>
                <w:t xml:space="preserve">, s.v. “στηριγμός.”</w:t>
              </w:r>
            </w:t>
          </w:r>
        </w:t>
      </w:r>
    </w:p>
  </w:footnote>
  <w:footnote w:id="12218">
    <w:p>
      <w:pPr>
        <w:pStyle w:val="FootnoteText"/>
      </w:pPr>
      <w:r>
        <w:rPr>
          <w:rStyle w:val="FootnoteReference"/>
        </w:rPr>
        <w:footnoteRef/>
      </w:r>
      <w:r>
        <w:t xml:space="preserve">
          <w:r>
            <w:t xml:space="preserve">
              <w:r>
                <w:t xml:space="preserve"> Friberg, </w:t>
              </w:r>
              <w:r>
                <w:rPr>
                  <w:i/>
                </w:rPr>
                <w:t xml:space="preserve">Analytical Lexicon</w:t>
              </w:r>
              <w:r>
                <w:t xml:space="preserve">, s.v. “στηριγμός.”</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069267">
    <w:multiLevelType w:val="hybridMultilevel"/>
    <w:lvl w:ilvl="0" w:tplc="11368115">
      <w:start w:val="1"/>
      <w:numFmt w:val="decimal"/>
      <w:lvlText w:val="%1."/>
      <w:lvlJc w:val="left"/>
      <w:pPr>
        <w:ind w:left="720" w:hanging="360"/>
      </w:pPr>
    </w:lvl>
    <w:lvl w:ilvl="1" w:tplc="11368115" w:tentative="1">
      <w:start w:val="1"/>
      <w:numFmt w:val="lowerLetter"/>
      <w:lvlText w:val="%2."/>
      <w:lvlJc w:val="left"/>
      <w:pPr>
        <w:ind w:left="1440" w:hanging="360"/>
      </w:pPr>
    </w:lvl>
    <w:lvl w:ilvl="2" w:tplc="11368115" w:tentative="1">
      <w:start w:val="1"/>
      <w:numFmt w:val="lowerRoman"/>
      <w:lvlText w:val="%3."/>
      <w:lvlJc w:val="right"/>
      <w:pPr>
        <w:ind w:left="2160" w:hanging="180"/>
      </w:pPr>
    </w:lvl>
    <w:lvl w:ilvl="3" w:tplc="11368115" w:tentative="1">
      <w:start w:val="1"/>
      <w:numFmt w:val="decimal"/>
      <w:lvlText w:val="%4."/>
      <w:lvlJc w:val="left"/>
      <w:pPr>
        <w:ind w:left="2880" w:hanging="360"/>
      </w:pPr>
    </w:lvl>
    <w:lvl w:ilvl="4" w:tplc="11368115" w:tentative="1">
      <w:start w:val="1"/>
      <w:numFmt w:val="lowerLetter"/>
      <w:lvlText w:val="%5."/>
      <w:lvlJc w:val="left"/>
      <w:pPr>
        <w:ind w:left="3600" w:hanging="360"/>
      </w:pPr>
    </w:lvl>
    <w:lvl w:ilvl="5" w:tplc="11368115" w:tentative="1">
      <w:start w:val="1"/>
      <w:numFmt w:val="lowerRoman"/>
      <w:lvlText w:val="%6."/>
      <w:lvlJc w:val="right"/>
      <w:pPr>
        <w:ind w:left="4320" w:hanging="180"/>
      </w:pPr>
    </w:lvl>
    <w:lvl w:ilvl="6" w:tplc="11368115" w:tentative="1">
      <w:start w:val="1"/>
      <w:numFmt w:val="decimal"/>
      <w:lvlText w:val="%7."/>
      <w:lvlJc w:val="left"/>
      <w:pPr>
        <w:ind w:left="5040" w:hanging="360"/>
      </w:pPr>
    </w:lvl>
    <w:lvl w:ilvl="7" w:tplc="11368115" w:tentative="1">
      <w:start w:val="1"/>
      <w:numFmt w:val="lowerLetter"/>
      <w:lvlText w:val="%8."/>
      <w:lvlJc w:val="left"/>
      <w:pPr>
        <w:ind w:left="5760" w:hanging="360"/>
      </w:pPr>
    </w:lvl>
    <w:lvl w:ilvl="8" w:tplc="11368115" w:tentative="1">
      <w:start w:val="1"/>
      <w:numFmt w:val="lowerRoman"/>
      <w:lvlText w:val="%9."/>
      <w:lvlJc w:val="right"/>
      <w:pPr>
        <w:ind w:left="6480" w:hanging="180"/>
      </w:pPr>
    </w:lvl>
  </w:abstractNum>
  <w:abstractNum w:abstractNumId="25290">
    <w:multiLevelType w:val="hybridMultilevel"/>
    <w:lvl w:ilvl="0" w:tplc="891643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90">
    <w:abstractNumId w:val="25290"/>
  </w:num>
  <w:num w:numId="40069267">
    <w:abstractNumId w:val="400692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9238624" Type="http://schemas.openxmlformats.org/officeDocument/2006/relationships/numbering" Target="numbering.xml"/><Relationship Id="rId850575158" Type="http://schemas.openxmlformats.org/officeDocument/2006/relationships/comments" Target="comments.xml"/><Relationship Id="rId47906862ad770633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