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1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FootnoteReference"/>
        </w:rPr>
        <w:footnoteReference w:id="10729"/>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FootnoteReference"/>
        </w:rPr>
        <w:footnoteReference w:id="19939"/>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FootnoteReference"/>
        </w:rPr>
        <w:footnoteReference w:id="31942"/>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FootnoteReference"/>
        </w:rPr>
        <w:footnoteReference w:id="13738"/>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14546"/>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11137"/>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FootnoteReference"/>
        </w:rPr>
        <w:footnoteReference w:id="29270"/>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FootnoteReference"/>
        </w:rPr>
        <w:footnoteReference w:id="20275"/>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FootnoteReference"/>
        </w:rPr>
        <w:footnoteReference w:id="14741"/>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Word Study: “Pneuma.”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FootnoteReference"/>
        </w:rPr>
        <w:footnoteReference w:id="15628"/>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FootnoteReference"/>
        </w:rPr>
        <w:footnoteReference w:id="30633"/>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FootnoteReference"/>
        </w:rPr>
        <w:footnoteReference w:id="23742"/>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w:t>
      </w:r>
      <w:r>
        <w:rPr>
          <w:i/>
          <w:iCs/>
        </w:rPr>
        <w:t xml:space="preserve">Lange’s Commentary</w:t>
      </w:r>
      <w:r>
        <w:rPr/>
        <w:t xml:space="preserve"> and </w:t>
      </w:r>
      <w:r>
        <w:rPr>
          <w:i/>
          <w:iCs/>
        </w:rPr>
        <w:t xml:space="preserve">Commentary on the Old Testament</w:t>
      </w:r>
      <w:r>
        <w:rPr/>
        <w:t xml:space="preserve">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FootnoteReference"/>
        </w:rPr>
        <w:footnoteReference w:id="26195"/>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FootnoteReference"/>
        </w:rPr>
        <w:footnoteReference w:id="22635"/>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FootnoteReference"/>
        </w:rPr>
        <w:footnoteReference w:id="23437"/>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FootnoteReference"/>
        </w:rPr>
        <w:footnoteReference w:id="10642"/>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FootnoteReference"/>
        </w:rPr>
        <w:footnoteReference w:id="12687"/>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FootnoteReference"/>
        </w:rPr>
        <w:footnoteReference w:id="18569"/>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FootnoteReference"/>
        </w:rPr>
        <w:footnoteReference w:id="21899"/>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Word Study: “Worship.” See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FootnoteReference"/>
        </w:rPr>
        <w:footnoteReference w:id="19589"/>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FootnoteReference"/>
        </w:rPr>
        <w:footnoteReference w:id="14550"/>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FootnoteReference"/>
        </w:rPr>
        <w:footnoteReference w:id="13536"/>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FootnoteReference"/>
        </w:rPr>
        <w:footnoteReference w:id="28547"/>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FootnoteReference"/>
        </w:rPr>
        <w:footnoteReference w:id="14455"/>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FootnoteReference"/>
        </w:rPr>
        <w:footnoteReference w:id="16316"/>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FootnoteReference"/>
        </w:rPr>
        <w:footnoteReference w:id="11296"/>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FootnoteReference"/>
        </w:rPr>
        <w:footnoteReference w:id="18433"/>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FootnoteReference"/>
        </w:rPr>
        <w:footnoteReference w:id="15829"/>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FootnoteReference"/>
        </w:rPr>
        <w:footnoteReference w:id="25329"/>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16071"/>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FootnoteReference"/>
        </w:rPr>
        <w:footnoteReference w:id="21999"/>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FootnoteReference"/>
        </w:rPr>
        <w:footnoteReference w:id="26924"/>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FootnoteReference"/>
        </w:rPr>
        <w:footnoteReference w:id="20570"/>
      </w:r>
      <w:r>
        <w:rPr/>
        <w:t xml:space="preserve"> Likewise, Bullinger writes in his lexicon, “spoken of a divine response, to give a response, to speak as an oracle, speak or warn from God.”</w:t>
      </w:r>
      <w:r>
        <w:rPr>
          <w:rStyle w:val="FootnoteReference"/>
        </w:rPr>
        <w:footnoteReference w:id="11345"/>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FootnoteReference"/>
        </w:rPr>
        <w:footnoteReference w:id="17530"/>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FootnoteReference"/>
        </w:rPr>
        <w:footnoteReference w:id="18338"/>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76536862ad65ec8bb"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Word Study: “Hina.”]</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FootnoteReference"/>
        </w:rPr>
        <w:footnoteReference w:id="16905"/>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FootnoteReference"/>
        </w:rPr>
        <w:footnoteReference w:id="29723"/>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FootnoteReference"/>
        </w:rPr>
        <w:footnoteReference w:id="10171"/>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FootnoteReference"/>
        </w:rPr>
        <w:footnoteReference w:id="23487"/>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17882"/>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17882"/>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17882"/>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17882"/>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FootnoteReference"/>
        </w:rPr>
        <w:footnoteReference w:id="23478"/>
      </w:r>
      <w:r>
        <w:rPr/>
        <w:t xml:space="preserve"> Meyer points out that public confession is also indicated in Acts 19:18 and James 5:16.</w:t>
      </w:r>
      <w:r>
        <w:rPr>
          <w:rStyle w:val="FootnoteReference"/>
        </w:rPr>
        <w:footnoteReference w:id="28967"/>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FootnoteReference"/>
        </w:rPr>
        <w:footnoteReference w:id="31103"/>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FootnoteReference"/>
        </w:rPr>
        <w:footnoteReference w:id="15394"/>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FootnoteReference"/>
        </w:rPr>
        <w:footnoteReference w:id="32651"/>
      </w:r>
      <w:r>
        <w:rPr/>
        <w:t xml:space="preserve"> Robert Mounce writes as if John is speaking in the first person: “‘My baptism’ he might say, ‘indicates you have repented.’”</w:t>
      </w:r>
      <w:r>
        <w:rPr>
          <w:rStyle w:val="FootnoteReference"/>
        </w:rPr>
        <w:footnoteReference w:id="23572"/>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Word Study: “Pneuma.”]</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FootnoteReference"/>
        </w:rPr>
        <w:footnoteReference w:id="19539"/>
      </w:r>
      <w:r>
        <w:rPr/>
        <w:t xml:space="preserve"> John’s baptism of Jesus was tied into Jesus’ being revealed to Israel (John 1:31), perhaps as one obedient enough to be “the Lamb of God” (John 1:29).</w:t>
      </w:r>
    </w:p>
    <w:p>
      <w:pPr>
        <w:pStyle w:val="rNormal"/>
        <w:widowControl w:val="on"/>
        <w:spacing w:before="240" w:after="240" w:line="240" w:lineRule="auto"/>
        <w:ind w:left="0" w:right="0"/>
        <w:jc w:val="left"/>
      </w:pPr>
      <w:r>
        <w:rPr/>
        <w:t xml:space="preserve">It must also be remembered that the people did not yet know that Jesus was the Messiah, even though John did, so it fits with Jesus setting an example for the people that he would be baptized. Perhaps it also helped his image as he stepped into his teaching ministry as a rabbi that he had been baptized by John. Although we know that Jesus was sinless, there was no Old Testament prophecy that he would be sinless except in the typology of things like the “unblemished” offerings to God, such as the passover lamb and the animals that were offered as sin offerings, and that typology was only recognized after the fact, it was not something that the people looked for. Thus, the natural assumption of the people around Jesus was that he was human and would have some sin somewhere (Ecc. 7:20), even if the people had not seen him sin.</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did not descend while Jesus was standing in the Jordan River, but as he came up out from (</w:t>
      </w:r>
      <w:r>
        <w:rPr>
          <w:i/>
          <w:iCs/>
        </w:rPr>
        <w:t xml:space="preserve">apo</w:t>
      </w:r>
      <w:r>
        <w:rPr/>
        <w:t xml:space="preserve">) the river and stepped up onto the bank. This fact becomes especially clear when Matthew is read in harmony with Mark. Here in Matthew 3:16, Jesus stepped up out of the water and the only way to do that is to be out of the water.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FootnoteReference"/>
        </w:rPr>
        <w:footnoteReference w:id="30619"/>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FootnoteReference"/>
        </w:rPr>
        <w:footnoteReference w:id="19644"/>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FootnoteReference"/>
        </w:rPr>
        <w:footnoteReference w:id="32428"/>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FootnoteReference"/>
        </w:rPr>
        <w:footnoteReference w:id="16677"/>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FootnoteReference"/>
        </w:rPr>
        <w:footnoteReference w:id="29631"/>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“I will give all these to you.”</w:t>
      </w:r>
      <w:r>
        <w:rPr/>
        <w:t xml:space="preserve"> The Devil had authority over the nations and people of the world. God had given it to Adam (Gen. 1:26-28) and Adam and Eve, by their sin, transferred the dominion to the Devil (Luke 4:6). Here in Matthew 4:9, the Devil offered the kingdoms of the world and the glory of them to Jesus if Jesus would worship him instead of God.</w:t>
      </w:r>
    </w:p>
    <w:p>
      <w:pPr>
        <w:pStyle w:val="rNormal"/>
        <w:widowControl w:val="on"/>
        <w:spacing w:before="240" w:after="240" w:line="240" w:lineRule="auto"/>
        <w:ind w:left="0" w:right="0"/>
        <w:jc w:val="left"/>
      </w:pPr>
      <w:r>
        <w:rPr/>
        <w:t xml:space="preserve">[For more on the Devil having authority on earth, see commentary on Luke 4:6.]</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17882"/>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17882"/>
        </w:numPr>
        <w:spacing w:before="0" w:after="0" w:line="240" w:lineRule="auto"/>
        <w:rPr/>
      </w:pPr>
      <w:r>
        <w:rPr/>
        <w:t xml:space="preserve">Genesis 19:1 NIV84: When Lot saw the two strangers, he got up to meet them “and bowed down [#07812 shachah] with his face to the ground.”</w:t>
      </w:r>
    </w:p>
    <w:p>
      <w:pPr>
        <w:numPr>
          <w:ilvl w:val="0"/>
          <w:numId w:val="17882"/>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17882"/>
        </w:numPr>
        <w:spacing w:before="0" w:after="0" w:line="240" w:lineRule="auto"/>
        <w:rPr/>
      </w:pPr>
      <w:r>
        <w:rPr/>
        <w:t xml:space="preserve">Exodus 18:7 NIV84 “So Moses went out to meet his father-in-law and bowed down [#07812 shachah] and kissed him.</w:t>
      </w:r>
    </w:p>
    <w:p>
      <w:pPr>
        <w:numPr>
          <w:ilvl w:val="0"/>
          <w:numId w:val="17882"/>
        </w:numPr>
        <w:spacing w:before="0" w:after="0" w:line="240" w:lineRule="auto"/>
        <w:rPr/>
      </w:pPr>
      <w:r>
        <w:rPr/>
        <w:t xml:space="preserve">1 Samuel 1:19 NIV84 Early the next morning they arose and worshiped [#07812 shachah] before the LORD.</w:t>
      </w:r>
    </w:p>
    <w:p>
      <w:pPr>
        <w:numPr>
          <w:ilvl w:val="0"/>
          <w:numId w:val="17882"/>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17882"/>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FootnoteReference"/>
        </w:rPr>
        <w:footnoteReference w:id="12826"/>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FootnoteReference"/>
        </w:rPr>
        <w:footnoteReference w:id="11235"/>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FootnoteReference"/>
        </w:rPr>
        <w:footnoteReference w:id="30758"/>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FootnoteReference"/>
        </w:rPr>
        <w:footnoteReference w:id="32145"/>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FootnoteReference"/>
        </w:rPr>
        <w:footnoteReference w:id="16288"/>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commentary on Matt. 5:5, that the humble will inherit the earth. For more about the uses of </w:t>
      </w:r>
      <w:r>
        <w:rPr>
          <w:i/>
          <w:iCs/>
        </w:rPr>
        <w:t xml:space="preserve">pneuma</w:t>
      </w:r>
      <w:r>
        <w:rPr/>
        <w:t xml:space="preserve"> (spirit) see Word Study: “Pneuma,”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17882"/>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17882"/>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FootnoteReference"/>
        </w:rPr>
        <w:footnoteReference w:id="17561"/>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FootnoteReference"/>
        </w:rPr>
        <w:footnoteReference w:id="24548"/>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archaeology,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FootnoteReference"/>
        </w:rPr>
        <w:footnoteReference w:id="12767"/>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FootnoteReference"/>
        </w:rPr>
        <w:footnoteReference w:id="28482"/>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FootnoteReference"/>
        </w:rPr>
        <w:footnoteReference w:id="28170"/>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“everyone who is enraged with his brother or sister.”</w:t>
      </w:r>
      <w:r>
        <w:rPr/>
        <w:t xml:space="preserve"> The Greek word </w:t>
      </w:r>
      <w:r>
        <w:rPr>
          <w:i/>
          <w:iCs/>
        </w:rPr>
        <w:t xml:space="preserve">adelphos</w:t>
      </w:r>
      <w:r>
        <w:rPr/>
        <w:t xml:space="preserve"> (typically translated “brother”) is often not gender exclusive, in other words, it often refers to both genders. In this context, the terms “brother” and “sister” would mean fellow Israelite, not a blood brother or sister. As the Church grew, those terms would include fellow believers.</w:t>
      </w:r>
    </w:p>
    <w:p>
      <w:pPr>
        <w:pStyle w:val="rNormal"/>
        <w:widowControl w:val="on"/>
        <w:spacing w:before="240" w:after="240" w:line="240" w:lineRule="auto"/>
        <w:ind w:left="0" w:right="0"/>
        <w:jc w:val="left"/>
      </w:pPr>
      <w:r>
        <w:rPr/>
        <w:t xml:space="preserve">The King James Version and some other versions (mostly early versions) add “without a cause” at the end of the clause making it read, “everyone who is enraged with his brother or sister without a cause will be subject to judgment.” However, “without a cause” is not in the earliest texts and the evidence is that it was added by copyists, which is why almost all modern Bibles do not include it (cf. CEB, CJB, BBE, CSB, ESV, LSB, LSV, NAB, NASB (all three editions), NET, NJB, NIV, NRSV, RSV).</w:t>
      </w:r>
    </w:p>
    <w:p>
      <w:pPr>
        <w:pStyle w:val="rNormal"/>
        <w:widowControl w:val="on"/>
        <w:spacing w:before="240" w:after="240" w:line="240" w:lineRule="auto"/>
        <w:ind w:left="0" w:right="0"/>
        <w:jc w:val="left"/>
      </w:pPr>
      <w:r>
        <w:rPr/>
        <w:t xml:space="preserve">Philip Comfort writes, “The addition of the qualifier εἰκῆ (“without cause”) must have occurred somewhat early in the transmission of the NT [New Testament] text, perhaps in the early third century, inasmuch as its presence is noted in various manuscripts by Origen, Apollonaris, Jerome, and Augustine. A marginal note in [manuscript] 1424 (ninth century) indicates that the qualifier was not in certain Greek manuscripts or in the Gospel of the Nazarenes (second century). Clearly, this addition was an attempt to soften Jesus' bold assertion, and to thereby justify anger if it is for a good reason. But this insertion must be rejected on internal grounds (had it originally been in the text, why would it have been deleted?) and on documentary grounds.”</w:t>
      </w:r>
      <w:r>
        <w:rPr>
          <w:rStyle w:val="FootnoteReference"/>
        </w:rPr>
        <w:footnoteReference w:id="11573"/>
      </w:r>
    </w:p>
    <w:p>
      <w:pPr>
        <w:pStyle w:val="rNormal"/>
        <w:widowControl w:val="on"/>
        <w:spacing w:before="240" w:after="240" w:line="240" w:lineRule="auto"/>
        <w:ind w:left="0" w:right="0"/>
        <w:jc w:val="left"/>
      </w:pPr>
      <w:r>
        <w:rPr/>
        <w:t xml:space="preserve">Some people trying to defend versions like the King James postulate that perhaps the word was somehow deleted from the early versions but then was discovered and added back into later texts. That would be more than highly unlikely and almost all modern scholars reject the idea, which is why the modern English versions do not have the addition “without a cause.” We can certainly understand why copyists would want to soften Jesus’ words by adding the phrase. Almost everyone has been “enraged” with others (the Greek word generally means “angry,” but in this context it seems to mean especially angry, i.e., very angry or enraged). Given that, to most people it would seem that Jesus overstated his case and that it was understandable and even okay to be angry with others if there was a good reason for it.</w:t>
      </w:r>
    </w:p>
    <w:p>
      <w:pPr>
        <w:pStyle w:val="rNormal"/>
        <w:widowControl w:val="on"/>
        <w:spacing w:before="240" w:after="240" w:line="240" w:lineRule="auto"/>
        <w:ind w:left="0" w:right="0"/>
        <w:jc w:val="left"/>
      </w:pPr>
      <w:r>
        <w:rPr/>
        <w:t xml:space="preserve">[For more on “brothers and sisters, 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“You fool!”</w:t>
      </w:r>
      <w:r>
        <w:rPr/>
        <w:t xml:space="preserve"> See Word Study: “Fool.”</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FootnoteReference"/>
        </w:rPr>
        <w:footnoteReference w:id="21955"/>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FootnoteReference"/>
        </w:rPr>
        <w:footnoteReference w:id="24560"/>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FootnoteReference"/>
        </w:rPr>
        <w:footnoteReference w:id="10059"/>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2215"/>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FootnoteReference"/>
        </w:rPr>
        <w:footnoteReference w:id="15023"/>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Normal"/>
        <w:widowControl w:val="on"/>
        <w:spacing w:before="240" w:after="240" w:line="240" w:lineRule="auto"/>
        <w:ind w:left="0" w:right="0"/>
        <w:jc w:val="left"/>
      </w:pPr>
      <w:r>
        <w:rPr/>
        <w:t xml:space="preserve">[For more on “hate” and the semantic range of “hate,” see commentary on Prov. 1:22.]</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FootnoteReference"/>
        </w:rPr>
        <w:footnoteReference w:id="1235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FootnoteReference"/>
        </w:rPr>
        <w:footnoteReference w:id="30046"/>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FootnoteReference"/>
        </w:rPr>
        <w:footnoteReference w:id="21663"/>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FootnoteReference"/>
        </w:rPr>
        <w:footnoteReference w:id="13925"/>
      </w:r>
      <w:r>
        <w:rPr/>
        <w:t xml:space="preserve"> “to babble” in the sense of trying to achieve success in prayer by heaping up repetitions.</w:t>
      </w:r>
      <w:r>
        <w:rPr>
          <w:rStyle w:val="FootnoteReference"/>
        </w:rPr>
        <w:footnoteReference w:id="11956"/>
      </w:r>
      <w:r>
        <w:rPr/>
        <w:t xml:space="preserve"> Williams translates it as “keep on repeating set phrases.”</w:t>
      </w:r>
      <w:r>
        <w:rPr>
          <w:rStyle w:val="FootnoteReference"/>
        </w:rPr>
        <w:footnoteReference w:id="21779"/>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35630272"/>
        </w:numPr>
        <w:spacing w:before="0" w:after="0" w:line="240" w:lineRule="auto"/>
        <w:rPr/>
      </w:pPr>
      <w:r>
        <w:rPr/>
        <w:t xml:space="preserve">May your name be treated as holy (Matt. 6:9; Luke 11:2).</w:t>
      </w:r>
    </w:p>
    <w:p>
      <w:pPr>
        <w:numPr>
          <w:ilvl w:val="0"/>
          <w:numId w:val="35630272"/>
        </w:numPr>
        <w:spacing w:before="0" w:after="0" w:line="240" w:lineRule="auto"/>
        <w:rPr/>
      </w:pPr>
      <w:r>
        <w:rPr/>
        <w:t xml:space="preserve">May your kingdom come (Matt. 6:10; Luke 11:2).</w:t>
      </w:r>
    </w:p>
    <w:p>
      <w:pPr>
        <w:numPr>
          <w:ilvl w:val="0"/>
          <w:numId w:val="35630272"/>
        </w:numPr>
        <w:spacing w:before="0" w:after="0" w:line="240" w:lineRule="auto"/>
        <w:rPr/>
      </w:pPr>
      <w:r>
        <w:rPr/>
        <w:t xml:space="preserve">May your will be done on earth as it is in heaven (Matt. 6:10)</w:t>
      </w:r>
    </w:p>
    <w:p>
      <w:pPr>
        <w:numPr>
          <w:ilvl w:val="0"/>
          <w:numId w:val="35630272"/>
        </w:numPr>
        <w:spacing w:before="0" w:after="0" w:line="240" w:lineRule="auto"/>
        <w:rPr/>
      </w:pPr>
      <w:r>
        <w:rPr/>
        <w:t xml:space="preserve">Give us today our daily bread (Matt. 6:11; Luke 11:3)</w:t>
      </w:r>
    </w:p>
    <w:p>
      <w:pPr>
        <w:numPr>
          <w:ilvl w:val="0"/>
          <w:numId w:val="35630272"/>
        </w:numPr>
        <w:spacing w:before="0" w:after="0" w:line="240" w:lineRule="auto"/>
        <w:rPr/>
      </w:pPr>
      <w:r>
        <w:rPr/>
        <w:t xml:space="preserve">Forgive us our debts as we also have forgiven our debtors (Matt. 6:12; Luke 11:4)</w:t>
      </w:r>
    </w:p>
    <w:p>
      <w:pPr>
        <w:numPr>
          <w:ilvl w:val="0"/>
          <w:numId w:val="35630272"/>
        </w:numPr>
        <w:spacing w:before="0" w:after="0" w:line="240" w:lineRule="auto"/>
        <w:rPr/>
      </w:pPr>
      <w:r>
        <w:rPr/>
        <w:t xml:space="preserve">And do not bring us into temptation (Matt. 6:13; Luke 11:4).</w:t>
      </w:r>
    </w:p>
    <w:p>
      <w:pPr>
        <w:numPr>
          <w:ilvl w:val="0"/>
          <w:numId w:val="35630272"/>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17882"/>
        </w:numPr>
        <w:spacing w:before="0" w:after="0" w:line="240" w:lineRule="auto"/>
        <w:rPr/>
      </w:pPr>
      <w:r>
        <w:rPr/>
        <w:t xml:space="preserve">Jesus instructed people to pray for the Kingdom to come (Matt. 6:10; Luke 11:2).</w:t>
      </w:r>
    </w:p>
    <w:p>
      <w:pPr>
        <w:numPr>
          <w:ilvl w:val="0"/>
          <w:numId w:val="17882"/>
        </w:numPr>
        <w:spacing w:before="0" w:after="0" w:line="240" w:lineRule="auto"/>
        <w:rPr/>
      </w:pPr>
      <w:r>
        <w:rPr/>
        <w:t xml:space="preserve">Just before his crucifixion, Jesus told the apostles he would not drink wine again “until the Kingdom of God comes” (Luke 22:18).</w:t>
      </w:r>
    </w:p>
    <w:p>
      <w:pPr>
        <w:numPr>
          <w:ilvl w:val="0"/>
          <w:numId w:val="17882"/>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17882"/>
        </w:numPr>
        <w:spacing w:before="0" w:after="0" w:line="240" w:lineRule="auto"/>
        <w:rPr/>
      </w:pPr>
      <w:r>
        <w:rPr/>
        <w:t xml:space="preserve">After Jesus died on the cross, Joseph of Arimathea, a dedicated disciple of Jesus, was still “waiting for the Kingdom of God” (Luke 23:51).</w:t>
      </w:r>
    </w:p>
    <w:p>
      <w:pPr>
        <w:numPr>
          <w:ilvl w:val="0"/>
          <w:numId w:val="17882"/>
        </w:numPr>
        <w:spacing w:before="0" w:after="0" w:line="240" w:lineRule="auto"/>
        <w:rPr/>
      </w:pPr>
      <w:r>
        <w:rPr/>
        <w:t xml:space="preserve">At Christ’s Triumphal Entry into Jerusalem, the people shouted “Blessed is the coming Kingdom of our father David” (Mark 11:10).</w:t>
      </w:r>
    </w:p>
    <w:p>
      <w:pPr>
        <w:numPr>
          <w:ilvl w:val="0"/>
          <w:numId w:val="17882"/>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17882"/>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17882"/>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17882"/>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7851"/>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FootnoteReference"/>
        </w:rPr>
        <w:footnoteReference w:id="10784"/>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FootnoteReference"/>
        </w:rPr>
        <w:footnoteReference w:id="21549"/>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60646862ad666223b" w:history="1">
        <w:r>
          <w:rPr>
            <w:i/>
            <w:iCs/>
            <w:u w:val="single"/>
          </w:rPr>
          <w:t xml:space="preserve">Abundantia</w:t>
        </w:r>
      </w:hyperlink>
      <w:r>
        <w:rPr/>
        <w:t xml:space="preserve"> was the divine personification of abundance and prosperity, </w:t>
      </w:r>
      <w:hyperlink r:id="rId35666862ad6662252" w:history="1">
        <w:r>
          <w:rPr>
            <w:i/>
            <w:iCs/>
            <w:u w:val="single"/>
          </w:rPr>
          <w:t xml:space="preserve">Aequitas</w:t>
        </w:r>
      </w:hyperlink>
      <w:r>
        <w:rPr/>
        <w:t xml:space="preserve"> (Equity) was the divine personification of fairness, </w:t>
      </w:r>
      <w:hyperlink r:id="rId82296862ad6662260" w:history="1">
        <w:r>
          <w:rPr>
            <w:i/>
            <w:iCs/>
            <w:u w:val="single"/>
          </w:rPr>
          <w:t xml:space="preserve">Bonus Eventus</w:t>
        </w:r>
      </w:hyperlink>
      <w:r>
        <w:rPr/>
        <w:t xml:space="preserve"> was the divine personification of “Good Outcome,” and </w:t>
      </w:r>
      <w:hyperlink r:id="rId17276862ad666226d" w:history="1">
        <w:r>
          <w:rPr>
            <w:i/>
            <w:iCs/>
            <w:u w:val="single"/>
          </w:rPr>
          <w:t xml:space="preserve">Mors</w:t>
        </w:r>
      </w:hyperlink>
      <w:r>
        <w:rPr/>
        <w:t xml:space="preserve"> was the personification of death (the Greek personification of death was </w:t>
      </w:r>
      <w:hyperlink r:id="rId34386862ad666227b"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FootnoteReference"/>
        </w:rPr>
        <w:footnoteReference w:id="10895"/>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 To capture both meanings of righteousness in the verse, in an amplified version the verse could be translated: “Seek first the Kingdom of God and having right standing in God’s eyes and also right living toward others, and all these things will be provided for you.”</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FootnoteReference"/>
        </w:rPr>
        <w:footnoteReference w:id="30253"/>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FootnoteReference"/>
        </w:rPr>
        <w:footnoteReference w:id="28683"/>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FootnoteReference"/>
        </w:rPr>
        <w:footnoteReference w:id="23509"/>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FootnoteReference"/>
        </w:rPr>
        <w:footnoteReference w:id="15503"/>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FootnoteReference"/>
        </w:rPr>
        <w:footnoteReference w:id="10789"/>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one who sent him.</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a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a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21482"/>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FootnoteReference"/>
        </w:rPr>
        <w:footnoteReference w:id="21796"/>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FootnoteReference"/>
        </w:rPr>
        <w:footnoteReference w:id="11181"/>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i.e.,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which are gathered up and thrown into the fire (Matt. 13:36-43). In that parable, Jesus was emphasizing that the darnel was poisonous and harmful, and was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FootnoteReference"/>
        </w:rPr>
        <w:footnoteReference w:id="20172"/>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17882"/>
        </w:numPr>
        <w:spacing w:before="0" w:after="0" w:line="240" w:lineRule="auto"/>
        <w:rPr/>
      </w:pPr>
      <w:r>
        <w:rPr/>
        <w:t xml:space="preserve">“But the sons…will be put out into the dark” (BBE; cf. CJB, GW).</w:t>
      </w:r>
    </w:p>
    <w:p>
      <w:pPr>
        <w:numPr>
          <w:ilvl w:val="0"/>
          <w:numId w:val="17882"/>
        </w:numPr>
        <w:spacing w:before="0" w:after="0" w:line="240" w:lineRule="auto"/>
        <w:rPr/>
      </w:pPr>
      <w:r>
        <w:rPr/>
        <w:t xml:space="preserve">“But the subjects of the kingdom will be thrown outside, into the darkness” (NIV).</w:t>
      </w:r>
    </w:p>
    <w:p>
      <w:pPr>
        <w:numPr>
          <w:ilvl w:val="0"/>
          <w:numId w:val="17882"/>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FootnoteReference"/>
        </w:rPr>
        <w:footnoteReference w:id="29402"/>
      </w:r>
      <w:r>
        <w:rPr/>
        <w:t xml:space="preserve"> Newman and Stine write that “The outer darkness is also used elsewhere by Matthew as a description of the doom that awaits people who reject God.”</w:t>
      </w:r>
      <w:r>
        <w:rPr>
          <w:rStyle w:val="FootnoteReference"/>
        </w:rPr>
        <w:footnoteReference w:id="23823"/>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sobbing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11653"/>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FootnoteReference"/>
        </w:rPr>
        <w:footnoteReference w:id="10180"/>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25201"/>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FootnoteReference"/>
        </w:rPr>
        <w:footnoteReference w:id="20226"/>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FootnoteReference"/>
        </w:rPr>
        <w:footnoteReference w:id="30487"/>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FootnoteReference"/>
        </w:rPr>
        <w:footnoteReference w:id="23228"/>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FootnoteReference"/>
        </w:rPr>
        <w:footnoteReference w:id="18409"/>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FootnoteReference"/>
        </w:rPr>
        <w:footnoteReference w:id="23442"/>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FootnoteReference"/>
        </w:rPr>
        <w:footnoteReference w:id="22268"/>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FootnoteReference"/>
        </w:rPr>
        <w:footnoteReference w:id="27589"/>
      </w:r>
      <w:r>
        <w:rPr/>
        <w:t xml:space="preserve"> BDAG has: “speech that denigrates or defames,” hence “reviling, denigration, disrespect, slander.”</w:t>
      </w:r>
      <w:r>
        <w:rPr>
          <w:rStyle w:val="FootnoteReference"/>
        </w:rPr>
        <w:footnoteReference w:id="27145"/>
      </w:r>
      <w:r>
        <w:rPr/>
        <w:t xml:space="preserve"> Thayer defines </w:t>
      </w:r>
      <w:r>
        <w:rPr>
          <w:i/>
          <w:iCs/>
        </w:rPr>
        <w:t xml:space="preserve">blasphēmia</w:t>
      </w:r>
      <w:r>
        <w:rPr/>
        <w:t xml:space="preserve"> as “speech injurious to another’s good name” and lists railing, reviling, and slander as some of the definitions.</w:t>
      </w:r>
      <w:r>
        <w:rPr>
          <w:rStyle w:val="FootnoteReference"/>
        </w:rPr>
        <w:footnoteReference w:id="25887"/>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9:21</w:t>
      </w:r>
    </w:p>
    <w:p>
      <w:pPr>
        <w:pStyle w:val="rNormal"/>
        <w:widowControl w:val="on"/>
        <w:spacing w:before="240" w:after="240" w:line="240" w:lineRule="auto"/>
        <w:ind w:left="0" w:right="0" w:firstLine="1"/>
        <w:jc w:val="left"/>
      </w:pPr>
      <w:r>
        <w:rPr>
          <w:b/>
          <w:bCs/>
        </w:rPr>
        <w:t xml:space="preserve">“If I can just touch his garment, I will be healed.”</w:t>
      </w:r>
      <w:r>
        <w:rPr/>
        <w:t xml:space="preserve"> Why would this unnamed woman think that if she just touched Jesus’ garment she would be healed? The very likely answer is that she had absolute trust that the garment of the Messiah was holy and would produce healing, a belief she would have gotten from Malachi 4:2, that the Messiah would have healing in “his wings,” that is, in the extremity of his clothing. For this woman to believe that, she must have concluded from what she knew about Jesus that he was the Messiah and therefore would fulfill the prophecies about him, which in this case he did.</w:t>
      </w:r>
    </w:p>
    <w:p>
      <w:pPr>
        <w:pStyle w:val="rNormal"/>
        <w:widowControl w:val="on"/>
        <w:spacing w:before="240" w:after="240" w:line="240" w:lineRule="auto"/>
        <w:ind w:left="0" w:right="0"/>
        <w:jc w:val="left"/>
      </w:pPr>
      <w:r>
        <w:rPr/>
        <w:t xml:space="preserve">That the evidence in Scripture points to the fact that this woman could learn about Jesus and conclude he was the Messiah sheds light on the hardheartedness and spiritual blindness of many of the people of Jesus’ time. There was plenty of evidence that Jesus was the Messiah, and many people realized he was the Messiah, but many didn’t.</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FootnoteReference"/>
        </w:rPr>
        <w:footnoteReference w:id="14497"/>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FootnoteReference"/>
        </w:rPr>
        <w:footnoteReference w:id="1245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FootnoteReference"/>
        </w:rPr>
        <w:footnoteReference w:id="17444"/>
      </w:r>
      <w:r>
        <w:rPr/>
        <w:t xml:space="preserve"> Thus, it is very likely that “Simon was a former adherent of the Jewish party of “the Zealots” (Acts 5:37; Josephus, Ant., 18.1.1 and 6; Wars, 2.8.1).”</w:t>
      </w:r>
      <w:r>
        <w:rPr>
          <w:rStyle w:val="FootnoteReference"/>
        </w:rPr>
        <w:footnoteReference w:id="17754"/>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FootnoteReference"/>
        </w:rPr>
        <w:footnoteReference w:id="13506"/>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10:5</w:t>
      </w:r>
    </w:p>
    <w:p>
      <w:pPr>
        <w:pStyle w:val="rNormal"/>
        <w:widowControl w:val="on"/>
        <w:spacing w:before="240" w:after="240" w:line="240" w:lineRule="auto"/>
        <w:ind w:left="0" w:right="0" w:firstLine="1"/>
        <w:jc w:val="left"/>
      </w:pPr>
      <w:r>
        <w:rPr>
          <w:b/>
          <w:bCs/>
        </w:rPr>
        <w:t xml:space="preserve">“These twelve Jesus sent out.”</w:t>
      </w:r>
      <w:r>
        <w:rPr/>
        <w:t xml:space="preserve"> Jesus sent out the Twelve Apostles in Matthew 10:5, Mark 6:7, and Luke 9:2. Sometime after that, Jesus sent out 72 (or 70) disciples (Luke 10:1).</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FootnoteReference"/>
        </w:rPr>
        <w:footnoteReference w:id="11066"/>
      </w:r>
      <w:r>
        <w:rPr/>
        <w:t xml:space="preserve"> The disciples were to be “pure in their motives and genuine in their behavior.”</w:t>
      </w:r>
      <w:r>
        <w:rPr>
          <w:rStyle w:val="FootnoteReference"/>
        </w:rPr>
        <w:footnoteReference w:id="24759"/>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FootnoteReference"/>
        </w:rPr>
        <w:footnoteReference w:id="24266"/>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FootnoteReference"/>
        </w:rPr>
        <w:footnoteReference w:id="29697"/>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FootnoteReference"/>
        </w:rPr>
        <w:footnoteReference w:id="20787"/>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Word Study: “Psuchē.”]</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FootnoteReference"/>
        </w:rPr>
        <w:footnoteReference w:id="31285"/>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FootnoteReference"/>
        </w:rPr>
        <w:footnoteReference w:id="18433"/>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FootnoteReference"/>
        </w:rPr>
        <w:footnoteReference w:id="30252"/>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FootnoteReference"/>
        </w:rPr>
        <w:footnoteReference w:id="31189"/>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FootnoteReference"/>
        </w:rPr>
        <w:footnoteReference w:id="28937"/>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“Whoever welcomes a prophet because they are a prophet will receive a prophet’s reward, and whoever welcomes a righteous person because they are a righteous person will receive a righteous person’s reward.”</w:t>
      </w:r>
      <w:r>
        <w:rPr/>
        <w:t xml:space="preserve"> Matthew 10:41 should be a great encouragement to many believers who are not in a position to do things for God that they would love to do, perhaps due to time, money, or situational constraints. But God understands our earthly circumstances, and so He tells us that if we welcome those people who are doing things for God that we consider to be great things, then we will receive the same reward as those “great people” receive.</w:t>
      </w:r>
    </w:p>
    <w:p>
      <w:pPr>
        <w:pStyle w:val="rNormal"/>
        <w:widowControl w:val="on"/>
        <w:spacing w:before="240" w:after="240" w:line="240" w:lineRule="auto"/>
        <w:ind w:left="0" w:right="0"/>
        <w:jc w:val="left"/>
      </w:pPr>
      <w:r>
        <w:rPr/>
        <w:t xml:space="preserve">In many English Bibles, Matthew 10:41 is translated like “Whoever receives a prophet because they are a prophet will receive a prophet’s reward, and whoever receives a righteous person because they are a righteous person will receive a righteous person’s reward.” This can be confusing becasue there are two different words that are both being translated as “recieve.” The two different Greek words are </w:t>
      </w:r>
      <w:r>
        <w:rPr>
          <w:i/>
          <w:iCs/>
        </w:rPr>
        <w:t xml:space="preserve">dechomai</w:t>
      </w:r>
      <w:r>
        <w:rPr/>
        <w:t xml:space="preserve"> (#1209 δέχομαι) and </w:t>
      </w:r>
      <w:r>
        <w:rPr>
          <w:i/>
          <w:iCs/>
        </w:rPr>
        <w:t xml:space="preserve">lambanō</w:t>
      </w:r>
      <w:r>
        <w:rPr/>
        <w:t xml:space="preserve"> (#2983 λαμβάνω), and in this context, they should be translated differently. </w:t>
      </w:r>
      <w:r>
        <w:rPr>
          <w:i/>
          <w:iCs/>
        </w:rPr>
        <w:t xml:space="preserve">Dechomai</w:t>
      </w:r>
      <w:r>
        <w:rPr/>
        <w:t xml:space="preserve"> should be translated more like “welcome” or “accept,” and </w:t>
      </w:r>
      <w:r>
        <w:rPr>
          <w:i/>
          <w:iCs/>
        </w:rPr>
        <w:t xml:space="preserve">lambanō</w:t>
      </w:r>
      <w:r>
        <w:rPr/>
        <w:t xml:space="preserve"> should be translated more like “recieves” or “gets.” Some English Bibles note the difference and translate the two words differently, as the REV does (cf. AMP, BBE, CSB, GW, Mounce NT, NIV2011, NJB, NRSV).</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“the righteous,” referring to a “righteous person.” Using the substantive and saying just “the righteous,” instead of just supplying the noun and saying “the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they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FootnoteReference"/>
        </w:rPr>
        <w:footnoteReference w:id="27328"/>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FootnoteReference"/>
        </w:rPr>
        <w:footnoteReference w:id="28561"/>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FootnoteReference"/>
        </w:rPr>
        <w:footnoteReference w:id="19695"/>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FootnoteReference"/>
        </w:rPr>
        <w:footnoteReference w:id="24511"/>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35630273"/>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FootnoteReference"/>
        </w:rPr>
        <w:footnoteReference w:id="22162"/>
      </w:r>
    </w:p>
    <w:p>
      <w:pPr>
        <w:numPr>
          <w:ilvl w:val="0"/>
          <w:numId w:val="35630273"/>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FootnoteReference"/>
        </w:rPr>
        <w:footnoteReference w:id="15740"/>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FootnoteReference"/>
        </w:rPr>
        <w:footnoteReference w:id="25933"/>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FootnoteReference"/>
        </w:rPr>
        <w:footnoteReference w:id="19394"/>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FootnoteReference"/>
        </w:rPr>
        <w:footnoteReference w:id="17429"/>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FootnoteReference"/>
        </w:rPr>
        <w:footnoteReference w:id="13729"/>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Normal"/>
        <w:widowControl w:val="on"/>
        <w:spacing w:before="240" w:after="240" w:line="240" w:lineRule="auto"/>
        <w:ind w:left="0" w:right="0"/>
        <w:jc w:val="left"/>
      </w:pPr>
      <w:r>
        <w:rPr/>
        <w:t xml:space="preserve">[For more information on the word “grave,” see Word Study: “Hades.”]</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FootnoteReference"/>
        </w:rPr>
        <w:footnoteReference w:id="21830"/>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FootnoteReference"/>
        </w:rPr>
        <w:footnoteReference w:id="15257"/>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FootnoteReference"/>
        </w:rPr>
        <w:footnoteReference w:id="11887"/>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FootnoteReference"/>
        </w:rPr>
        <w:footnoteReference w:id="11719"/>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Word Study: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FootnoteReference"/>
        </w:rPr>
        <w:footnoteReference w:id="31637"/>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FootnoteReference"/>
        </w:rPr>
        <w:footnoteReference w:id="19953"/>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FootnoteReference"/>
        </w:rPr>
        <w:footnoteReference w:id="25290"/>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FootnoteReference"/>
        </w:rPr>
        <w:footnoteReference w:id="29170"/>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 It is also possible that the Devil could neurologically rewire part of the person’s brain. The Devil has the power to alter the genetic characteristics of plants and animals (Gen. 3:16-17), and so genetic manipulation is not beyond his ablility.</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FootnoteReference"/>
        </w:rPr>
        <w:footnoteReference w:id="22029"/>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FootnoteReference"/>
        </w:rPr>
        <w:footnoteReference w:id="11997"/>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2:2-9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2:2-9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17882"/>
        </w:numPr>
        <w:spacing w:before="0" w:after="0" w:line="240" w:lineRule="auto"/>
        <w:rPr/>
      </w:pPr>
      <w:r>
        <w:rPr>
          <w:b/>
          <w:bCs/>
        </w:rPr>
        <w:t xml:space="preserve">Wednesday, Nisan 14</w:t>
      </w:r>
      <w:r>
        <w:rPr/>
        <w:t xml:space="preserve">: Passover Day. Jesus is crucified about 9 a.m. (Mark 15:25).</w:t>
      </w:r>
    </w:p>
    <w:p>
      <w:pPr>
        <w:numPr>
          <w:ilvl w:val="0"/>
          <w:numId w:val="17882"/>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17882"/>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17882"/>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17882"/>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17882"/>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17882"/>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17882"/>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17882"/>
        </w:numPr>
        <w:spacing w:before="0" w:after="0" w:line="240" w:lineRule="auto"/>
        <w:rPr/>
      </w:pPr>
      <w:r>
        <w:rPr>
          <w:b/>
          <w:bCs/>
        </w:rPr>
        <w:t xml:space="preserve">Saturday, Nisan 17:</w:t>
      </w:r>
      <w:r>
        <w:rPr/>
        <w:t xml:space="preserve"> The women rest on Saturday the weekly Sabbath (Luke 23:56).</w:t>
      </w:r>
    </w:p>
    <w:p>
      <w:pPr>
        <w:numPr>
          <w:ilvl w:val="0"/>
          <w:numId w:val="17882"/>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17882"/>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also see commentaries on John 19:14 and Luke 23:50.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FootnoteReference"/>
        </w:rPr>
        <w:footnoteReference w:id="19062"/>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17882"/>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17882"/>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17882"/>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17882"/>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“Hina”).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“Hina”),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7994"/>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“who hears and understands the message.”</w:t>
      </w:r>
      <w:r>
        <w:rPr/>
        <w:t xml:space="preserve"> The person who wants to be good soil “hears and understands the message.” Good soil is not automatic. The person must dedicate the time to hear the message, which involves some effort. Then they must “understand” it. The use of “understand” in Matthew 13:23 is more Hebraic than Greek. It is not just an intellectual understanding. In the Hebraic mindset, a person who does not act on what they knew to do did not really “understand” it. For example, there are many places in the New Testament that direct the believer to pray (e.g., Rom. 12:12; Eph. 6:18; Col. 4:2; 1 Thess. 5:17). If a person “understands” that God wants them to pray but then does not pray, in the Hebraic mindset the person did not “understand” they were supposed to pray. Thus, a better “Western” idiomatic translation might be that the “good soil” person would be “the one who hears and acts on the message, who then certainly bears fruit.”</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31336862ad66edf12"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FootnoteReference"/>
        </w:rPr>
        <w:footnoteReference w:id="26515"/>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FootnoteReference"/>
        </w:rPr>
        <w:footnoteReference w:id="20247"/>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FootnoteReference"/>
        </w:rPr>
        <w:footnoteReference w:id="18440"/>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doing/committing lawlessness,” but that does not read as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fiery furnace.”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FootnoteReference"/>
        </w:rPr>
        <w:footnoteReference w:id="28805"/>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FootnoteReference"/>
        </w:rPr>
        <w:footnoteReference w:id="26434"/>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sobbing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outside of Bethsaida but near it. This would be on the northeast side of the Sea of Galilee (see commentary on John 6:1).</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14:19</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When the Apostles left the area of Bethsaida, they would have thought they were in for a short trip, perhaps three miles or less. However, they were rowing for hours against the wind and waves.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FootnoteReference"/>
        </w:rPr>
        <w:footnoteReference w:id="26618"/>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15:7</w:t>
      </w:r>
    </w:p>
    <w:p>
      <w:pPr>
        <w:pStyle w:val="rNormal"/>
        <w:widowControl w:val="on"/>
        <w:spacing w:before="240" w:after="240" w:line="240" w:lineRule="auto"/>
        <w:ind w:left="0" w:right="0" w:firstLine="1"/>
        <w:jc w:val="left"/>
      </w:pPr>
      <w:r>
        <w:rPr>
          <w:b/>
          <w:bCs/>
        </w:rPr>
        <w:t xml:space="preserve">“Isaiah prophesied correctly about you.”</w:t>
      </w:r>
      <w:r>
        <w:rPr/>
        <w:t xml:space="preserve"> This verse could very easily be misunderstood without the proper biblical background and context.</w:t>
      </w:r>
    </w:p>
    <w:p>
      <w:pPr>
        <w:pStyle w:val="rNormal"/>
        <w:widowControl w:val="on"/>
        <w:spacing w:before="240" w:after="240" w:line="240" w:lineRule="auto"/>
        <w:ind w:left="0" w:right="0"/>
        <w:jc w:val="left"/>
      </w:pPr>
      <w:r>
        <w:rPr/>
        <w:t xml:space="preserve">The first spot of potential confusion is due to the fact that Jesus used the term “prophecy” and many Christians today typically view prophecy as pointing forward, and in this context, Jesus seems to be using it in a forward-pointing way, i.e., prophesying the future. However, it is important to know that “prophecy” can refer to someone simply relaying a current message from God and not, in any way, be prophesying a future event. This is precisely what Isaiah was doing. When reading the account in Isaiah, Isaiah is pronouncing God’s words upon Jerusalem (called “Ariel” in Isa. 29:1) for their current hypocrisy (Isaiah 29:13), he is not prophesying against a future group called the Pharisees.</w:t>
      </w:r>
    </w:p>
    <w:p>
      <w:pPr>
        <w:pStyle w:val="rNormal"/>
        <w:widowControl w:val="on"/>
        <w:spacing w:before="240" w:after="240" w:line="240" w:lineRule="auto"/>
        <w:ind w:left="0" w:right="0"/>
        <w:jc w:val="left"/>
      </w:pPr>
      <w:r>
        <w:rPr/>
        <w:t xml:space="preserve">The second line of confusion arises because Jesus says “about you,” which again, makes it sound as if Isaiah was making a future prophecy specifically about the Pharisees, which as mentioned above, is not what Isaiah was doing. With this phrase, Jesus means that Isaiah’s words “apply to you.”</w:t>
      </w:r>
    </w:p>
    <w:p>
      <w:pPr>
        <w:pStyle w:val="rNormal"/>
        <w:widowControl w:val="on"/>
        <w:spacing w:before="240" w:after="240" w:line="240" w:lineRule="auto"/>
        <w:ind w:left="0" w:right="0"/>
        <w:jc w:val="left"/>
      </w:pPr>
      <w:r>
        <w:rPr/>
        <w:t xml:space="preserve">The third line of confusion arises if we do not understand double fulfillments of prophecies in scripture. This happens quite often in the New Testament. A New Testament author will take an Old Testament event and apply it to their own current context even though the original event or prophecy was never intended to be predicting the future. For instance, in Hosea 11:1, God says that He “called my son out of Egypt,” referring to the Exodus of the Israelites. However, in Matthew 2:15, Matthew takes that passage and applies it to Christ, who is God’s son, because he also came out of Egypt. So, the same words could rightly apply to two different situations. This is a double fulfillment of a prophecy, and it happens quite frequently. Yet, we must remember that in these “double fulfillment” passages, the author never intended the Old Testament words to be a prophecy about the future.</w:t>
      </w:r>
    </w:p>
    <w:p>
      <w:pPr>
        <w:pStyle w:val="rNormal"/>
        <w:widowControl w:val="on"/>
        <w:spacing w:before="240" w:after="240" w:line="240" w:lineRule="auto"/>
        <w:ind w:left="0" w:right="0"/>
        <w:jc w:val="left"/>
      </w:pPr>
      <w:r>
        <w:rPr/>
        <w:t xml:space="preserve">So, what is happening in Matthew 15:7-9? Jesus is seeing a double fulfillment in the words that Isaiah spoke to Israel in Isaiah 29:13, and therefore, he feels that it is appropriate to apply the same words from Isaiah 29:13 to his present context. Jesus frames this situation by saying, “Isaiah prophesied correctly about you,” but his words can only be properly understood when we understand how first-century Jews (such as Jesus and the apostles) viewed “prophecy” and “fulfillment”—which is much different than how we use those terms today. A more idiomatic way to phrase this verse would be, “Isaiah’s words can rightly be applied to you when he said….”</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FootnoteReference"/>
        </w:rPr>
        <w:footnoteReference w:id="19978"/>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30099"/>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15:16</w:t>
      </w:r>
    </w:p>
    <w:p>
      <w:pPr>
        <w:pStyle w:val="rNormal"/>
        <w:widowControl w:val="on"/>
        <w:spacing w:before="240" w:after="240" w:line="240" w:lineRule="auto"/>
        <w:ind w:left="0" w:right="0"/>
        <w:jc w:val="left"/>
      </w:pPr>
      <w:r>
        <w:rPr/>
        <w:t xml:space="preserve">“</w:t>
      </w:r>
      <w:r>
        <w:rPr>
          <w:b/>
          <w:bCs/>
        </w:rPr>
        <w:t xml:space="preserve">not understand.”</w:t>
      </w:r>
      <w:r>
        <w:rPr/>
        <w:t xml:space="preserve"> See Word Study: “Fool.”</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The word “insult” does not have an “and” before it, making this list the figure of speech asyndeton, which makes the list incomplete; many more things could be added, and the list in Mark 7:20-21 has more sins than this list does.</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FootnoteReference"/>
        </w:rPr>
        <w:footnoteReference w:id="14812"/>
      </w:r>
      <w:r>
        <w:rPr/>
        <w:t xml:space="preserve"> That is why R. C. H. Lenski translated the word as “commissioned,” that Jesus was only commissioned to go to the lost sheep of Israel.</w:t>
      </w:r>
      <w:r>
        <w:rPr>
          <w:rStyle w:val="FootnoteReference"/>
        </w:rPr>
        <w:footnoteReference w:id="32130"/>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FootnoteReference"/>
        </w:rPr>
        <w:footnoteReference w:id="30735"/>
      </w:r>
      <w:r>
        <w:rPr/>
        <w:t xml:space="preserve"> The word can also refer to “puppies,”</w:t>
      </w:r>
      <w:r>
        <w:rPr>
          <w:rStyle w:val="FootnoteReference"/>
        </w:rPr>
        <w:footnoteReference w:id="29479"/>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FootnoteReference"/>
        </w:rPr>
        <w:footnoteReference w:id="26571"/>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there were 4,000 men who ate.”</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16:2</w:t>
      </w:r>
    </w:p>
    <w:p>
      <w:pPr>
        <w:pStyle w:val="rNormal"/>
        <w:widowControl w:val="on"/>
        <w:spacing w:before="240" w:after="240" w:line="240" w:lineRule="auto"/>
        <w:ind w:left="0" w:right="0" w:firstLine="1"/>
        <w:jc w:val="left"/>
      </w:pPr>
      <w:r>
        <w:rPr>
          <w:b/>
          <w:bCs/>
        </w:rPr>
        <w:t xml:space="preserve">“When it is evening, you say.”</w:t>
      </w:r>
      <w:r>
        <w:rPr/>
        <w:t xml:space="preserve"> To properly understand this verse in its cultural context, it is helpful to remember that the Jewish day started at sunset, when the sun went below the horizon. Also, the sky is almost always brilliantly red after the sun sets, not before that time, and although there are some exceptions, almost always the best time to see a red sky is shortly after the sun sets. Given those facts, Jesus was likely thinking of that time just after sunset, so what would be fair weather for us “tomorrow” was, for the Jews, fair weather later that day—the next morning.</w:t>
      </w:r>
    </w:p>
    <w:p>
      <w:pPr>
        <w:pStyle w:val="rVersHead"/>
        <w:widowControl w:val="on"/>
      </w:pPr>
      <w:r>
        <w:rPr/>
        <w:t xml:space="preserve">Mat 16:3</w:t>
      </w:r>
    </w:p>
    <w:p>
      <w:pPr>
        <w:pStyle w:val="rNormal"/>
        <w:widowControl w:val="on"/>
        <w:spacing w:before="240" w:after="240" w:line="240" w:lineRule="auto"/>
        <w:ind w:left="0" w:right="0" w:firstLine="1"/>
        <w:jc w:val="left"/>
      </w:pPr>
      <w:r>
        <w:rPr>
          <w:b/>
          <w:bCs/>
        </w:rPr>
        <w:t xml:space="preserve">“the appearance of the sky.”</w:t>
      </w:r>
      <w:r>
        <w:rPr/>
        <w:t xml:space="preserve"> The Greek text is more literally, “the face of the heavens.” Although what is meant by the biblical use of “heavens” is what we refer to as the “sky,” there are times when it helps to remember that in the minset of biblical Israelites, “heaven” was often simply the sky where the birds flew (Gen. 2:20; Matt. 8:20).</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16:11</w:t>
      </w:r>
    </w:p>
    <w:p>
      <w:pPr>
        <w:pStyle w:val="rNormal"/>
        <w:widowControl w:val="on"/>
        <w:spacing w:before="240" w:after="240" w:line="240" w:lineRule="auto"/>
        <w:ind w:left="0" w:right="0" w:firstLine="1"/>
        <w:jc w:val="left"/>
      </w:pPr>
      <w:r>
        <w:rPr>
          <w:b/>
          <w:bCs/>
        </w:rPr>
        <w:t xml:space="preserve">“beware of the leaven of the Pharisees and Sadducees.”</w:t>
      </w:r>
      <w:r>
        <w:rPr/>
        <w:t xml:space="preserve"> In Matthew 16:11, Jesus repeats exactly what he said in Matthew 16:6: “Beware of the leaven of the Pharisees and Sadducees.” Here we see Jesus as the master teacher and mentor. He had told the apostles, his young trainees, the same thing earlier (verse 6), but they got distracted by the fact that they did not take any bread for the trip across the lake. They lost focus on the point Jesus was trying to make and got caught up in a discussion about the fact that they had forgotten to bring any bread with them. Jesus mildly reproved them for not realizing that Jesus could feed them if the need arose by reminding them of the feeding of the 4,000 and the 5,000, and then got them refocused on the point he was trying to teach them, which was to be careful about the doctrine of the religious leaders, the Pharisees and Sadducees. Jesus could say the same thing today about the doctrine of many religious leaders.</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16:13</w:t>
      </w:r>
    </w:p>
    <w:p>
      <w:pPr>
        <w:pStyle w:val="rNormal"/>
        <w:widowControl w:val="on"/>
        <w:spacing w:before="240" w:after="240" w:line="240" w:lineRule="auto"/>
        <w:ind w:left="0" w:right="0" w:firstLine="1"/>
        <w:jc w:val="left"/>
      </w:pPr>
      <w:r>
        <w:rPr>
          <w:b/>
          <w:bCs/>
        </w:rPr>
        <w:t xml:space="preserve">“he asked his disciples.”</w:t>
      </w:r>
      <w:r>
        <w:rPr/>
        <w:t xml:space="preserve"> The Greek word “saying” occurs after the word “disciples” in the text, however, it has been omitted for the sake of clarity in English.</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church.”</w:t>
      </w:r>
      <w:r>
        <w:rPr/>
        <w:t xml:space="preserve"> We can see from the context and grammar that Jesus is addressing Peter here. Jesus said, “I also say to you [singular] that you [singular] are Peter and on this rock I will build my church.”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FootnoteReference"/>
        </w:rPr>
        <w:footnoteReference w:id="18752"/>
      </w:r>
      <w:r>
        <w:rPr/>
        <w:t xml:space="preserve"> Lenski adds, “this appeal to the Aramaic substitutes something unknown and hypothetical for what is fully known and insured as true on the basis of the inspired Greek of the holy writers themselves.”</w:t>
      </w:r>
      <w:r>
        <w:rPr>
          <w:rStyle w:val="FootnoteReference"/>
        </w:rPr>
        <w:footnoteReference w:id="27983"/>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church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“church.”</w:t>
      </w:r>
      <w:r>
        <w:rPr/>
        <w:t xml:space="preserve"> This is the Greek word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but in this context it does refer to believers.</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“church,” which will consist of saved people from Israel and Gentiles, and he knows that some will be alive when he comes and some will be dead, so he makes the point of saying that the “gates of the grave will not be strong enough to keep it </w:t>
      </w:r>
      <w:r>
        <w:rPr>
          <w:i/>
          <w:iCs/>
        </w:rPr>
        <w:t xml:space="preserve">imprisoned</w:t>
      </w:r>
      <w:r>
        <w:rPr/>
        <w:t xml:space="preserve">.” Jesus knew the reason that the gates of the grave would not be strong enough to keep his church dead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[For more on Sheol, see Word Study: “Hades.” For more on dead people being dead, lifeless in every way, see Appendix 3: “The Dead are Dead.” For more on the Rapture and the resurrections, see commentary on Acts 24:15.]</w:t>
      </w:r>
    </w:p>
    <w:p>
      <w:pPr>
        <w:pStyle w:val="rNormal"/>
        <w:widowControl w:val="on"/>
        <w:spacing w:before="240" w:after="240" w:line="240" w:lineRule="auto"/>
        <w:ind w:left="0" w:right="0" w:firstLine="1"/>
        <w:jc w:val="left"/>
      </w:pPr>
      <w:r>
        <w:rPr>
          <w:b/>
          <w:bCs/>
        </w:rPr>
        <w:t xml:space="preserve">“will not be strong enough to keep it </w:t>
      </w:r>
      <w:r>
        <w:rPr>
          <w:b/>
          <w:bCs/>
          <w:i/>
          <w:iCs/>
        </w:rPr>
        <w:t xml:space="preserve">imprisoned</w:t>
      </w:r>
      <w:r>
        <w:rPr>
          <w:b/>
          <w:bCs/>
        </w:rPr>
        <w:t xml:space="preserve">.”</w:t>
      </w:r>
      <w:r>
        <w:rPr/>
        <w:t xml:space="preserve"> In this saying, Jesus is communicating that believers will resurrect from the dead. The figurative “gates of the grave” will not be strong enough to keep dead believers (“the Church”) in </w:t>
      </w:r>
      <w:r>
        <w:rPr>
          <w:i/>
          <w:iCs/>
        </w:rPr>
        <w:t xml:space="preserve">Sheol</w:t>
      </w:r>
      <w:r>
        <w:rPr/>
        <w:t xml:space="preserve"> (or “dead”). This is actually a beautiful verse about the future hope of believers, not about the indestructability of the Church here in this life.</w:t>
      </w:r>
    </w:p>
    <w:p>
      <w:pPr>
        <w:pStyle w:val="rNormal"/>
        <w:widowControl w:val="on"/>
        <w:spacing w:before="240" w:after="240" w:line="240" w:lineRule="auto"/>
        <w:ind w:left="0" w:right="0"/>
        <w:jc w:val="left"/>
      </w:pPr>
      <w:r>
        <w:rPr/>
        <w:t xml:space="preserve">Many translations translate the Greek verb </w:t>
      </w:r>
      <w:r>
        <w:rPr>
          <w:i/>
          <w:iCs/>
        </w:rPr>
        <w:t xml:space="preserve">katischusousin</w:t>
      </w:r>
      <w:r>
        <w:rPr/>
        <w:t xml:space="preserve"> (#2729 κατισχύσουσιν) as “prevail,” or “overcome.” Although this is the typical meaning of </w:t>
      </w:r>
      <w:r>
        <w:rPr>
          <w:i/>
          <w:iCs/>
        </w:rPr>
        <w:t xml:space="preserve">katischuō</w:t>
      </w:r>
      <w:r>
        <w:rPr/>
        <w:t xml:space="preserve">, it must be correctly translated in this context. Can gates prevail or overcome things? No. But gates do hold things in or keep things out. So, in this context, the sense of </w:t>
      </w:r>
      <w:r>
        <w:rPr>
          <w:i/>
          <w:iCs/>
        </w:rPr>
        <w:t xml:space="preserve">katischuō</w:t>
      </w:r>
      <w:r>
        <w:rPr/>
        <w:t xml:space="preserve"> is that the gates will not be strong enough to keep the church in the grave. The Church will overcome or overpower the gates of the grave.</w:t>
      </w:r>
    </w:p>
    <w:p>
      <w:pPr>
        <w:pStyle w:val="rNormal"/>
        <w:widowControl w:val="on"/>
        <w:spacing w:before="240" w:after="240" w:line="240" w:lineRule="auto"/>
        <w:ind w:left="0" w:right="0"/>
        <w:jc w:val="left"/>
      </w:pPr>
      <w:r>
        <w:rPr/>
        <w:t xml:space="preserve">When each member of the Church dies, they go to </w:t>
      </w:r>
      <w:r>
        <w:rPr>
          <w:i/>
          <w:iCs/>
        </w:rPr>
        <w:t xml:space="preserve">Sheol</w:t>
      </w:r>
      <w:r>
        <w:rPr/>
        <w:t xml:space="preserve"> (</w:t>
      </w:r>
      <w:r>
        <w:rPr>
          <w:i/>
          <w:iCs/>
        </w:rPr>
        <w:t xml:space="preserve">Hades</w:t>
      </w:r>
      <w:r>
        <w:rPr/>
        <w:t xml:space="preserve"> in the New Testament), and as mentioned above, a common illustration was that </w:t>
      </w:r>
      <w:r>
        <w:rPr>
          <w:i/>
          <w:iCs/>
        </w:rPr>
        <w:t xml:space="preserve">Sheol</w:t>
      </w:r>
      <w:r>
        <w:rPr/>
        <w:t xml:space="preserve"> (or death) had gates (Job 17:16; 38:17; Ps. 9:13; 107:18; Isa. 38:10), which, presumably, kept people from leaving. Again, this is all metaphorical. There are no literal gates that trap people in a conscious state of existence; rather, the gates symbolize humanity’s need for a Savior and for resurrection, without which they would remain dead forever. Often, ancients saw “Death” as the most powerful enemy that conquered every human (cf. 1 Cor. 15:26, 54-57) and looked forward to the day when God would overcome the power of death, “He will swallow up death forever” (Isa. 25:8). Jesus is teaching that the Church will be granted the power to overcome death, to break out of </w:t>
      </w:r>
      <w:r>
        <w:rPr>
          <w:i/>
          <w:iCs/>
        </w:rPr>
        <w:t xml:space="preserve">Sheol</w:t>
      </w:r>
      <w:r>
        <w:rPr/>
        <w:t xml:space="preserve">, through the resurrection of the dead, all made possible by the atonement and resurrection of Jesus. This illustration Jesus uses is further illustrated in Revelation 1:18 when Jesus possesses the “keys of Death and of the grave [Hades].” The idea is the same one being communicated here in Matthew 16:18, namely, that Jesus will figuratively unlock the gates of the grave and believers will be resurrected.</w:t>
      </w:r>
    </w:p>
    <w:p>
      <w:pPr>
        <w:pStyle w:val="rNormal"/>
        <w:widowControl w:val="on"/>
        <w:spacing w:before="240" w:after="240" w:line="240" w:lineRule="auto"/>
        <w:ind w:left="0" w:right="0"/>
        <w:jc w:val="left"/>
      </w:pPr>
      <w:r>
        <w:rPr/>
        <w:t xml:space="preserve">Therefore, translating </w:t>
      </w:r>
      <w:r>
        <w:rPr>
          <w:i/>
          <w:iCs/>
        </w:rPr>
        <w:t xml:space="preserve">katischusousin</w:t>
      </w:r>
      <w:r>
        <w:rPr/>
        <w:t xml:space="preserve"> as “prevail” or “overcome” has led to great confusion because people recognize that gates cannot “wage war,” thus, they think “gates” must be representing spiritual forces of darkness/Hades.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FootnoteReference"/>
        </w:rPr>
        <w:footnoteReference w:id="21392"/>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then on Jesus began to make known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out of my way, Adversary!”</w:t>
      </w:r>
      <w:r>
        <w:rPr/>
        <w:t xml:space="preserve"> The Greek is </w:t>
      </w:r>
      <w:r>
        <w:rPr>
          <w:i/>
          <w:iCs/>
        </w:rPr>
        <w:t xml:space="preserve">hupagō opisō satanas</w:t>
      </w:r>
      <w:r>
        <w:rPr/>
        <w:t xml:space="preserve">, literally,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For these reasons, the meaning, “become a disciple again,” is not to be preferred.</w:t>
      </w:r>
    </w:p>
    <w:p>
      <w:pPr>
        <w:pStyle w:val="rNormal"/>
        <w:widowControl w:val="on"/>
        <w:spacing w:before="240" w:after="240" w:line="240" w:lineRule="auto"/>
        <w:ind w:left="0" w:right="0"/>
        <w:jc w:val="left"/>
      </w:pPr>
      <w:r>
        <w:rPr/>
        <w:t xml:space="preserve">Although many translations say, “Get behind me,” the translation “Get out of my way” helps communicate the sense of the Greek into English better. The idea being communicated in the context is that Peter is being a hindrance to Jesus’ mission as Messiah. In response to something that is hindering, in English, we would say, “Get out of my way,” not “Get behind me.” Another possibility for what this phrase means to a modern audience is “Get out of my sight”</w:t>
      </w:r>
      <w:r>
        <w:rPr>
          <w:rStyle w:val="FootnoteReference"/>
        </w:rPr>
        <w:footnoteReference w:id="23035"/>
      </w:r>
      <w:r>
        <w:rPr/>
        <w:t xml:space="preserve"> (American Translation, Barclay’s Translation, NAB, NIV), although this slightly misses the full picture in that Jesus is not just upset with Peter (which, “Get out of my sight,” would communicate), Jesus also sees Peter in this moment as being a hindrance to his purposes.</w:t>
      </w:r>
    </w:p>
    <w:p>
      <w:pPr>
        <w:pStyle w:val="rNormal"/>
        <w:widowControl w:val="on"/>
        <w:spacing w:before="240" w:after="240" w:line="240" w:lineRule="auto"/>
        <w:ind w:left="0" w:right="0"/>
        <w:jc w:val="left"/>
      </w:pPr>
      <w:r>
        <w:rPr/>
        <w:t xml:space="preserve">Given the evidence, it seems that Jesus was strongly rebuking Peter, saying in essence, “Get out of my way,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“going to come”</w:t>
      </w:r>
      <w:r>
        <w:rPr>
          <w:rStyle w:val="FootnoteReference"/>
        </w:rPr>
        <w:footnoteReference w:id="14531"/>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experience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died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7052"/>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firstLine="1"/>
        <w:jc w:val="left"/>
      </w:pPr>
      <w:r>
        <w:rPr>
          <w:b/>
          <w:bCs/>
        </w:rPr>
        <w:t xml:space="preserve">“experience death.”</w:t>
      </w:r>
      <w:r>
        <w:rPr/>
        <w:t xml:space="preserve"> The Greek verb </w:t>
      </w:r>
      <w:r>
        <w:rPr>
          <w:i/>
          <w:iCs/>
        </w:rPr>
        <w:t xml:space="preserve">geuomai</w:t>
      </w:r>
      <w:r>
        <w:rPr/>
        <w:t xml:space="preserve"> (#1089 γεύομαι) can mean “to taste,” or “to experience” something.</w:t>
      </w:r>
      <w:r>
        <w:rPr>
          <w:rStyle w:val="FootnoteReference"/>
        </w:rPr>
        <w:footnoteReference w:id="23066"/>
      </w:r>
      <w:r>
        <w:rPr/>
        <w:t xml:space="preserve"> Many translations translate this phrase as “taste death” (ESV, KJV, NASB, NIV, etc.). However, this can be misleading because some people understand that to mean just getting a hint of death, or being on the brink of death, but not actually dying. This understanding occurs when English speakers say a “taste of love,” or a “taste of chocolate”; in both instances, the phrase usually means “just a little bit,” not the full experience. Yet, Hebrews 2:9 makes clear that to “taste death” is to fully experience it, because the author speaks of Jesus as “tasting death,” and from the rest of scripture it is clear that Jesus died (1 Cor. 15:3; Rom. 5:8; 1 Pet. 3:18). Thus, the word </w:t>
      </w:r>
      <w:r>
        <w:rPr>
          <w:i/>
          <w:iCs/>
        </w:rPr>
        <w:t xml:space="preserve">geuomai</w:t>
      </w:r>
      <w:r>
        <w:rPr/>
        <w:t xml:space="preserve"> means to experience something, and in this case, to experience death, to die, and to do so fully, not partially.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was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5753"/>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8818"/>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misunderstanding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FootnoteReference"/>
        </w:rPr>
        <w:footnoteReference w:id="27545"/>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17882"/>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17882"/>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17882"/>
        </w:numPr>
        <w:spacing w:before="0" w:after="0" w:line="240" w:lineRule="auto"/>
        <w:rPr/>
      </w:pPr>
      <w:r>
        <w:rPr/>
        <w:t xml:space="preserve">Judah is called “Sodom” and also “Gomorrah” because it was so wicked (Isa. 1:10).</w:t>
      </w:r>
    </w:p>
    <w:p>
      <w:pPr>
        <w:numPr>
          <w:ilvl w:val="0"/>
          <w:numId w:val="17882"/>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24972"/>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30988"/>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FootnoteReference"/>
        </w:rPr>
        <w:footnoteReference w:id="20270"/>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FootnoteReference"/>
        </w:rPr>
        <w:footnoteReference w:id="23739"/>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FootnoteReference"/>
        </w:rPr>
        <w:footnoteReference w:id="12757"/>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“whoever divorces his wife.”</w:t>
      </w:r>
      <w:r>
        <w:rPr/>
        <w:t xml:space="preserve"> In the context of the question and answer, the subject is a man divorcing a woman, his wife. The question would be in line with the culture of the time, because generally a woman could not divorce her husband. However, the man was to provide for and protect the woman, and if he did not she could leave the marriage (Exod. 21:11)</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a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the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FootnoteReference"/>
        </w:rPr>
        <w:footnoteReference w:id="20890"/>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FootnoteReference"/>
        </w:rPr>
        <w:footnoteReference w:id="24928"/>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FootnoteReference"/>
        </w:rPr>
        <w:footnoteReference w:id="27446"/>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FootnoteReference"/>
        </w:rPr>
        <w:footnoteReference w:id="14725"/>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FootnoteReference"/>
        </w:rPr>
        <w:footnoteReference w:id="18042"/>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FootnoteReference"/>
        </w:rPr>
        <w:footnoteReference w:id="28758"/>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FootnoteReference"/>
        </w:rPr>
        <w:footnoteReference w:id="29814"/>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22:36</w:t>
      </w:r>
    </w:p>
    <w:p>
      <w:pPr>
        <w:pStyle w:val="rNormal"/>
        <w:widowControl w:val="on"/>
        <w:spacing w:before="240" w:after="240" w:line="240" w:lineRule="auto"/>
        <w:ind w:left="0" w:right="0" w:firstLine="1"/>
        <w:jc w:val="left"/>
      </w:pPr>
      <w:r>
        <w:rPr>
          <w:b/>
          <w:bCs/>
        </w:rPr>
        <w:t xml:space="preserve">“which commandment is the greatest </w:t>
      </w:r>
      <w:r>
        <w:rPr>
          <w:b/>
          <w:bCs/>
          <w:i/>
          <w:iCs/>
        </w:rPr>
        <w:t xml:space="preserve">one</w:t>
      </w:r>
      <w:r>
        <w:rPr>
          <w:b/>
          <w:bCs/>
        </w:rPr>
        <w:t xml:space="preserve"> in the law?”</w:t>
      </w:r>
      <w:r>
        <w:rPr/>
        <w:t xml:space="preserve"> This question is asked of Jesus and answered by him in Matthew 22:36-40 and Mark 12:28-34. However, the commandment to love your neighbor is referenced in several other places as well (Luke 10:27; Rom. 13:9; Gal. 5:14; James 2:8).</w:t>
      </w:r>
    </w:p>
    <w:p>
      <w:pPr>
        <w:pStyle w:val="rNormal"/>
        <w:widowControl w:val="on"/>
        <w:spacing w:before="240" w:after="240" w:line="240" w:lineRule="auto"/>
        <w:ind w:left="0" w:right="0"/>
        <w:jc w:val="left"/>
      </w:pPr>
      <w:r>
        <w:rPr/>
        <w:t xml:space="preserve">Matthew and Mark give differing details, all of which are important. For example, Matthew adds the comment, “On these two commandments hang the whole Law, and the Prophets” (Matt. 22:40; see commentary on Matt. 22:40), while Mark quotes the first commandment more fully: “Hear, O Israel! The Lord our God is Lord alone, and </w:t>
      </w:r>
      <w:r>
        <w:rPr>
          <w:i/>
          <w:iCs/>
        </w:rPr>
        <w:t xml:space="preserve">so</w:t>
      </w:r>
      <w:r>
        <w:rPr/>
        <w:t xml:space="preserve"> you are to love the Lord your God with all your heart, and with all your soul, and with all your mind, and with all your strength” (Mark 12:29-30). In fact, the reason you are able to love “God” alone—the Old Testament reads “Yahweh alone,” and Yahweh is the Father—is that there is only one God, the Father, and that one God is to get all our love and worship (cf. John 17:3; 1 Cor. 8:6).</w:t>
      </w:r>
    </w:p>
    <w:p>
      <w:pPr>
        <w:pStyle w:val="rNormal"/>
        <w:widowControl w:val="on"/>
        <w:spacing w:before="240" w:after="240" w:line="240" w:lineRule="auto"/>
        <w:ind w:left="0" w:right="0"/>
        <w:jc w:val="left"/>
      </w:pPr>
      <w:r>
        <w:rPr/>
        <w:t xml:space="preserve">It is somewhat surprising at first that neither one of the two greatest commandments in the Mosaic Law was part of the Ten Commandments. The command to love God is in Deuteronomy 6:5, and the command to love your neighbor is in Leviticus 19:18. However, the reason for that seems to be that the Ten Commandments were “actionable,” that is, they involved doing something tangible and thus anyone could tell whether or not a person was obeying or disobeying the commandments. Because the Ten Commandments were “doing” and not “feeling,” they were easy to build a society on. “Love” is much more difficult to quantify than actionable things like “Remember the Sabbath day, to keep it holy. Do not murder; Do not commit adultery; Do not steal,” etc. People argue all the time about whether or not they are loved, and the arguments are precisely because love is difficult to quantify. Today the argument continues, with people who claim to love God being challenged and told they don’t really love God. On Judgment Day the Lord Jesus Christ will make it clear who loved God and who did not, but for now we just have to teach that people are to love God and let them walk out their lives as they see fit. One thing is clear: there are people today who claim to love God who are deceived and/or self-deceived, and people who don’t think they love God or love Him enough who, by the testimony of others, actually love God very much.</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FootnoteReference"/>
        </w:rPr>
        <w:footnoteReference w:id="20015"/>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“greatest and most important.”</w:t>
      </w:r>
      <w:r>
        <w:rPr/>
        <w:t xml:space="preserve"> In this context, the Greek word translated “most important” is </w:t>
      </w:r>
      <w:r>
        <w:rPr>
          <w:i/>
          <w:iCs/>
        </w:rPr>
        <w:t xml:space="preserve">prōtos</w:t>
      </w:r>
      <w:r>
        <w:rPr/>
        <w:t xml:space="preserve">, which literally means “first.” But here the connotation is not first in order or first in time, but first in rank (i.e., most significant).</w:t>
      </w:r>
    </w:p>
    <w:p>
      <w:pPr>
        <w:pStyle w:val="rNormal"/>
        <w:widowControl w:val="on"/>
        <w:spacing w:before="240" w:after="240" w:line="240" w:lineRule="auto"/>
        <w:ind w:left="0" w:right="0"/>
        <w:jc w:val="left"/>
      </w:pPr>
      <w:r>
        <w:rPr/>
        <w:t xml:space="preserve">The double adjective “greatest and most important” (</w:t>
      </w:r>
      <w:r>
        <w:rPr>
          <w:i/>
          <w:iCs/>
        </w:rPr>
        <w:t xml:space="preserve">megalē kai prōtē</w:t>
      </w:r>
      <w:r>
        <w:rPr/>
        <w:t xml:space="preserve">, μεγάλη καὶ πρώτη) is a hendiadys where two words are being used to convey one meaning. It is not as though “greatest” and “most important” are two different descriptions (i.e., attributes) of the commandment, but that the two terms are being emphatic about what commandment carries the highest degree of importance and significance.</w:t>
      </w:r>
    </w:p>
    <w:p>
      <w:pPr>
        <w:pStyle w:val="rNormal"/>
        <w:widowControl w:val="on"/>
        <w:spacing w:before="240" w:after="240" w:line="240" w:lineRule="auto"/>
        <w:ind w:left="0" w:right="0"/>
        <w:jc w:val="left"/>
      </w:pPr>
      <w:r>
        <w:rPr/>
        <w:t xml:space="preserve">[See commentary on Mark 12:28. For more information on the figure of speech hendiadys, see Word Study: “Hendiadys.”]</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gives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26999"/>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FootnoteReference"/>
        </w:rPr>
        <w:footnoteReference w:id="11460"/>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FootnoteReference"/>
        </w:rPr>
        <w:footnoteReference w:id="13305"/>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w:t>
      </w:r>
    </w:p>
    <w:p>
      <w:pPr>
        <w:pStyle w:val="rNormal"/>
        <w:widowControl w:val="on"/>
        <w:spacing w:before="240" w:after="240" w:line="240" w:lineRule="auto"/>
        <w:ind w:left="0" w:right="0"/>
        <w:jc w:val="left"/>
      </w:pPr>
      <w:r>
        <w:rPr/>
        <w:t xml:space="preserve">The meaning of this riddle becomes clear when you understand ancient Israelite culture. In Hebrew society, a father would always be Lord over his son, he had authority over him, but yet David is calling one of his distant sons (descendants) “Lord.” This seems to be going against their cultural norms. Jesus is questioning them, “How can this be?”—and they do not have an answer.</w:t>
      </w:r>
    </w:p>
    <w:p>
      <w:pPr>
        <w:pStyle w:val="rNormal"/>
        <w:widowControl w:val="on"/>
        <w:spacing w:before="240" w:after="240" w:line="240" w:lineRule="auto"/>
        <w:ind w:left="0" w:right="0"/>
        <w:jc w:val="left"/>
      </w:pPr>
      <w:r>
        <w:rPr/>
        <w:t xml:space="preserve">The likely implicit answer to this riddle is that because the Messiah (Jesus) is sinless, appointed by God, performed amazing miracles, and is the everlasting king (2 Sam. 7:13), he is greater than his father David. Therefore, the Messiah can rightly be called “Lord” even though he is David’s son (descendant).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FootnoteReference"/>
        </w:rPr>
        <w:footnoteReference w:id="22377"/>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FootnoteReference"/>
        </w:rPr>
        <w:footnoteReference w:id="27466"/>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FootnoteReference"/>
        </w:rPr>
        <w:footnoteReference w:id="28370"/>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23:17</w:t>
      </w:r>
    </w:p>
    <w:p>
      <w:pPr>
        <w:pStyle w:val="rNormal"/>
        <w:widowControl w:val="on"/>
        <w:spacing w:before="240" w:after="240" w:line="240" w:lineRule="auto"/>
        <w:ind w:left="0" w:right="0" w:firstLine="1"/>
        <w:jc w:val="left"/>
      </w:pPr>
      <w:r>
        <w:rPr>
          <w:b/>
          <w:bCs/>
        </w:rPr>
        <w:t xml:space="preserve">“no-goods.”</w:t>
      </w:r>
      <w:r>
        <w:rPr/>
        <w:t xml:space="preserve"> See Word Study: “Fool.”</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FootnoteReference"/>
        </w:rPr>
        <w:footnoteReference w:id="21772"/>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FootnoteReference"/>
        </w:rPr>
        <w:footnoteReference w:id="32624"/>
      </w:r>
      <w:r>
        <w:rPr/>
        <w:t xml:space="preserve"> Robert Mounce writes that </w:t>
      </w:r>
      <w:r>
        <w:rPr>
          <w:i/>
          <w:iCs/>
        </w:rPr>
        <w:t xml:space="preserve">parousia</w:t>
      </w:r>
      <w:r>
        <w:rPr/>
        <w:t xml:space="preserve"> “is widely used in nonbiblical texts for the arrival of a person of high status.”</w:t>
      </w:r>
      <w:r>
        <w:rPr>
          <w:rStyle w:val="FootnoteReference"/>
        </w:rPr>
        <w:footnoteReference w:id="21120"/>
      </w:r>
      <w:r>
        <w:rPr/>
        <w:t xml:space="preserve"> Ann Nyland writes that Emperor Nero wanted as many people present as possible at his </w:t>
      </w:r>
      <w:r>
        <w:rPr>
          <w:i/>
          <w:iCs/>
        </w:rPr>
        <w:t xml:space="preserve">parousia</w:t>
      </w:r>
      <w:r>
        <w:rPr/>
        <w:t xml:space="preserve"> to Corinth.</w:t>
      </w:r>
      <w:r>
        <w:rPr>
          <w:rStyle w:val="FootnoteReference"/>
        </w:rPr>
        <w:footnoteReference w:id="19642"/>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FootnoteReference"/>
        </w:rPr>
        <w:footnoteReference w:id="15850"/>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FootnoteReference"/>
        </w:rPr>
        <w:footnoteReference w:id="31067"/>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FootnoteReference"/>
        </w:rPr>
        <w:footnoteReference w:id="32698"/>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FootnoteReference"/>
        </w:rPr>
        <w:footnoteReference w:id="12696"/>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FootnoteReference"/>
        </w:rPr>
        <w:footnoteReference w:id="16556"/>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FootnoteReference"/>
        </w:rPr>
        <w:footnoteReference w:id="29239"/>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FootnoteReference"/>
        </w:rPr>
        <w:footnoteReference w:id="17464"/>
      </w:r>
      <w:r>
        <w:rPr>
          <w:rStyle w:val="FootnoteReference"/>
        </w:rPr>
        <w:footnoteReference w:id="17712"/>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FootnoteReference"/>
        </w:rPr>
        <w:footnoteReference w:id="21151"/>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FootnoteReference"/>
        </w:rPr>
        <w:footnoteReference w:id="10623"/>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sees.”</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FootnoteReference"/>
        </w:rPr>
        <w:footnoteReference w:id="27411"/>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35630274"/>
        </w:numPr>
        <w:spacing w:before="0" w:after="0" w:line="240" w:lineRule="auto"/>
        <w:rPr/>
      </w:pPr>
      <w:r>
        <w:rPr/>
        <w:t xml:space="preserve">Jesus was referring to the fall of Jerusalem in AD 70.</w:t>
      </w:r>
    </w:p>
    <w:p>
      <w:pPr>
        <w:numPr>
          <w:ilvl w:val="0"/>
          <w:numId w:val="35630274"/>
        </w:numPr>
        <w:spacing w:before="0" w:after="0" w:line="240" w:lineRule="auto"/>
        <w:rPr/>
      </w:pPr>
      <w:r>
        <w:rPr/>
        <w:t xml:space="preserve">The word “generation” refers to the “race” of Israel, the Jewish race.</w:t>
      </w:r>
    </w:p>
    <w:p>
      <w:pPr>
        <w:numPr>
          <w:ilvl w:val="0"/>
          <w:numId w:val="35630274"/>
        </w:numPr>
        <w:spacing w:before="0" w:after="0" w:line="240" w:lineRule="auto"/>
        <w:rPr/>
      </w:pPr>
      <w:r>
        <w:rPr/>
        <w:t xml:space="preserve">The word “generation” refers to the “kind” of people (i.e., wicked).</w:t>
      </w:r>
    </w:p>
    <w:p>
      <w:pPr>
        <w:numPr>
          <w:ilvl w:val="0"/>
          <w:numId w:val="35630274"/>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35630274"/>
        </w:numPr>
        <w:spacing w:before="0" w:after="0" w:line="240" w:lineRule="auto"/>
        <w:rPr/>
      </w:pPr>
      <w:r>
        <w:rPr/>
        <w:t xml:space="preserve">The word “this” in “this generation” refers to the generation at the time, not the one Christ was talking to.</w:t>
      </w:r>
    </w:p>
    <w:p>
      <w:pPr>
        <w:numPr>
          <w:ilvl w:val="0"/>
          <w:numId w:val="35630274"/>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i.e.,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w:t>
      </w:r>
      <w:r>
        <w:rPr>
          <w:i/>
          <w:iCs/>
        </w:rPr>
        <w:t xml:space="preserve">Journal of the Evangelical Theological Society</w:t>
      </w:r>
      <w:r>
        <w:rPr/>
        <w:t xml:space="preserve"> 38, no. 3 (September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FootnoteReference"/>
        </w:rPr>
        <w:footnoteReference w:id="25813"/>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FootnoteReference"/>
        </w:rPr>
        <w:footnoteReference w:id="10242"/>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20532"/>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FootnoteReference"/>
        </w:rPr>
        <w:footnoteReference w:id="13305"/>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FootnoteReference"/>
        </w:rPr>
        <w:footnoteReference w:id="31249"/>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25:8</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with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FootnoteReference"/>
        </w:rPr>
        <w:footnoteReference w:id="28770"/>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35630275"/>
        </w:numPr>
        <w:spacing w:before="0" w:after="0" w:line="240" w:lineRule="auto"/>
        <w:rPr/>
      </w:pPr>
      <w:r>
        <w:rPr/>
        <w:t xml:space="preserve">[The Christian Church is raptured into heaven (1 Thess. 4:15-18). The evidence is that the Rapture occurs before the Great Tribulation.]</w:t>
      </w:r>
    </w:p>
    <w:p>
      <w:pPr>
        <w:numPr>
          <w:ilvl w:val="0"/>
          <w:numId w:val="35630275"/>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35630275"/>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35630275"/>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35630275"/>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35630275"/>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35630275"/>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35630275"/>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35630275"/>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35630275"/>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35630275"/>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35630275"/>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this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35630276"/>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35630276"/>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35630276"/>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FootnoteReference"/>
        </w:rPr>
        <w:footnoteReference w:id="31690"/>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FootnoteReference"/>
        </w:rPr>
        <w:footnoteReference w:id="1802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10340"/>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Word Study: “Psuchē.”]</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FootnoteReference"/>
        </w:rPr>
        <w:footnoteReference w:id="13536"/>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FootnoteReference"/>
        </w:rPr>
        <w:footnoteReference w:id="31151"/>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26:30</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18970"/>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FootnoteReference"/>
        </w:rPr>
        <w:footnoteReference w:id="12176"/>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FootnoteReference"/>
        </w:rPr>
        <w:footnoteReference w:id="24767"/>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FootnoteReference"/>
        </w:rPr>
        <w:footnoteReference w:id="18045"/>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FootnoteReference"/>
        </w:rPr>
        <w:footnoteReference w:id="18378"/>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FootnoteReference"/>
        </w:rPr>
        <w:footnoteReference w:id="25143"/>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FootnoteReference"/>
        </w:rPr>
        <w:footnoteReference w:id="18850"/>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mentions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FootnoteReference"/>
        </w:rPr>
        <w:footnoteReference w:id="32462"/>
      </w:r>
      <w:r>
        <w:rPr/>
        <w:t xml:space="preserve"> W. R. Nicoll simply says that Jesus’ answer “= yes.”</w:t>
      </w:r>
      <w:r>
        <w:rPr>
          <w:rStyle w:val="FootnoteReference"/>
        </w:rPr>
        <w:footnoteReference w:id="11645"/>
      </w:r>
      <w:r>
        <w:rPr/>
        <w:t xml:space="preserve"> R. C. H. Lenski says this about Jesus’ answer: “It is the regular way of affirming the contents of the question.”</w:t>
      </w:r>
      <w:r>
        <w:rPr>
          <w:rStyle w:val="FootnoteReference"/>
        </w:rPr>
        <w:footnoteReference w:id="17227"/>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FootnoteReference"/>
        </w:rPr>
        <w:footnoteReference w:id="13990"/>
      </w:r>
      <w:r>
        <w:rPr/>
        <w:t xml:space="preserve"> Further evidence that this was an affirmative statement comes from Matthew 26:64 and Mark 14:62.</w:t>
      </w:r>
      <w:r>
        <w:rPr>
          <w:rStyle w:val="FootnoteReference"/>
        </w:rPr>
        <w:footnoteReference w:id="18055"/>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FootnoteReference"/>
        </w:rPr>
        <w:footnoteReference w:id="32535"/>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25779"/>
      </w:r>
      <w:r>
        <w:rPr/>
        <w:t xml:space="preserve"> Also, the </w:t>
      </w:r>
      <w:r>
        <w:rPr>
          <w:i/>
          <w:iCs/>
        </w:rPr>
        <w:t xml:space="preserve">Oxford Archaeological Guide to the Holy Land</w:t>
      </w:r>
      <w:r>
        <w:rPr>
          <w:rStyle w:val="FootnoteReference"/>
        </w:rPr>
        <w:footnoteReference w:id="26033"/>
      </w:r>
      <w:r>
        <w:rPr/>
        <w:t xml:space="preserve">, notes that the Red Heifer was burned on the Mount of Olives.</w:t>
      </w:r>
      <w:r>
        <w:rPr>
          <w:rStyle w:val="FootnoteReference"/>
        </w:rPr>
        <w:footnoteReference w:id="30335"/>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FootnoteReference"/>
        </w:rPr>
        <w:footnoteReference w:id="18712"/>
      </w:r>
      <w:r>
        <w:rPr/>
        <w:t xml:space="preserve"> “…the LXX [Septuagint] developed the term [</w:t>
      </w:r>
      <w:r>
        <w:rPr>
          <w:i/>
          <w:iCs/>
        </w:rPr>
        <w:t xml:space="preserve">topos</w:t>
      </w:r>
      <w:r>
        <w:rPr/>
        <w:t xml:space="preserve">, “place”] into a technical one for the holy place.</w:t>
      </w:r>
      <w:r>
        <w:rPr>
          <w:rStyle w:val="FootnoteReference"/>
        </w:rPr>
        <w:footnoteReference w:id="27184"/>
      </w:r>
      <w:r>
        <w:rPr/>
        <w:t xml:space="preserve"> “Historically, then, the land is no longer Israel’s place even before the final expulsion from Palestine [at the Babylonian Captivity], the theological understanding of ‘place’ is fully oriented to the Temple as the holy place.”</w:t>
      </w:r>
      <w:r>
        <w:rPr>
          <w:rStyle w:val="FootnoteReference"/>
        </w:rPr>
        <w:footnoteReference w:id="16476"/>
      </w:r>
      <w:r>
        <w:rPr/>
        <w:t xml:space="preserve"> “The OT-Jewish use of </w:t>
      </w:r>
      <w:r>
        <w:rPr>
          <w:i/>
          <w:iCs/>
        </w:rPr>
        <w:t xml:space="preserve">topos</w:t>
      </w:r>
      <w:r>
        <w:rPr/>
        <w:t xml:space="preserve"> for the Jerusalem Temple is continued in the New Testament…”</w:t>
      </w:r>
      <w:r>
        <w:rPr>
          <w:rStyle w:val="FootnoteReference"/>
        </w:rPr>
        <w:footnoteReference w:id="32240"/>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FootnoteReference"/>
        </w:rPr>
        <w:footnoteReference w:id="22911"/>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FootnoteReference"/>
        </w:rPr>
        <w:footnoteReference w:id="20801"/>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FootnoteReference"/>
        </w:rPr>
        <w:footnoteReference w:id="13723"/>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FootnoteReference"/>
        </w:rPr>
        <w:footnoteReference w:id="21657"/>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FootnoteReference"/>
        </w:rPr>
        <w:footnoteReference w:id="18396"/>
      </w:r>
      <w:r>
        <w:rPr/>
        <w:t xml:space="preserve"> Alan McNeile makes a case for the outer veil and wrote that the Gospel “almost certainly pictures a portent visible to all, not only the priests who happened to be in the Holy Place at the moment.”</w:t>
      </w:r>
      <w:r>
        <w:rPr>
          <w:rStyle w:val="FootnoteReference"/>
        </w:rPr>
        <w:footnoteReference w:id="17238"/>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FootnoteReference"/>
        </w:rPr>
        <w:footnoteReference w:id="25839"/>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 Also, the word translated as “census” in many English versions is actually “</w:t>
      </w:r>
      <w:r>
        <w:rPr>
          <w:i/>
          <w:iCs/>
        </w:rPr>
        <w:t xml:space="preserve">rosh</w:t>
      </w:r>
      <w:r>
        <w:rPr/>
        <w:t xml:space="preserve">,” “head” (Exod. 30:12; Num. 1:49; 4:2, 22).</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FootnoteReference"/>
        </w:rPr>
        <w:footnoteReference w:id="15262"/>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FootnoteReference"/>
        </w:rPr>
        <w:footnoteReference w:id="22097"/>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FootnoteReference"/>
        </w:rPr>
        <w:footnoteReference w:id="17007"/>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thus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17882"/>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17882"/>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17882"/>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17882"/>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17882"/>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17882"/>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17882"/>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17882"/>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17882"/>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17882"/>
        </w:numPr>
        <w:spacing w:before="0" w:after="0" w:line="240" w:lineRule="auto"/>
        <w:rPr/>
      </w:pPr>
      <w:r>
        <w:rPr/>
        <w:t xml:space="preserve">Ps. 22:18 says, “They divide my garments among them. They cast lots for my clothing.” The Roman soldiers did exactly what the prophecy said.</w:t>
      </w:r>
    </w:p>
    <w:p>
      <w:pPr>
        <w:numPr>
          <w:ilvl w:val="0"/>
          <w:numId w:val="17882"/>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17882"/>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verses. (It is noteworthy that Charles Spurgeon thinks that Psalm 22, “may have been actually repeated word by word by our Lord when hanging on the tree.”)</w:t>
      </w:r>
      <w:r>
        <w:rPr>
          <w:rStyle w:val="FootnoteReference"/>
        </w:rPr>
        <w:footnoteReference w:id="10333"/>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Word Study: “Psuchē.”]</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FootnoteReference"/>
        </w:rPr>
        <w:footnoteReference w:id="17699"/>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FootnoteReference"/>
        </w:rPr>
        <w:footnoteReference w:id="11297"/>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FootnoteReference"/>
        </w:rPr>
        <w:footnoteReference w:id="14382"/>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FootnoteReference"/>
        </w:rPr>
        <w:footnoteReference w:id="30311"/>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FootnoteReference"/>
        </w:rPr>
        <w:footnoteReference w:id="27686"/>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FootnoteReference"/>
        </w:rPr>
        <w:footnoteReference w:id="18813"/>
      </w:r>
      <w:r>
        <w:rPr/>
        <w:t xml:space="preserve"> A. B. Bruce writes: “We seem here to be in the region of Christian legend.”</w:t>
      </w:r>
      <w:r>
        <w:rPr>
          <w:rStyle w:val="FootnoteReference"/>
        </w:rPr>
        <w:footnoteReference w:id="23273"/>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FootnoteReference"/>
        </w:rPr>
        <w:footnoteReference w:id="10644"/>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FootnoteReference"/>
        </w:rPr>
        <w:footnoteReference w:id="14667"/>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about none of the disciples expecting Jesus to die, see commentary on Luke 18:34.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FootnoteReference"/>
        </w:rPr>
        <w:footnoteReference w:id="28990"/>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FootnoteReference"/>
        </w:rPr>
        <w:footnoteReference w:id="19469"/>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FootnoteReference"/>
        </w:rPr>
        <w:footnoteReference w:id="31008"/>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82046862ad67efeeb"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61486862ad65bd42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318382"/>
      <w:docPartObj>
        <w:docPartGallery w:val="Page Numbers (Bottom of Page)"/>
        <w:docPartUnique/>
      </w:docPartObj>
    </w:sdtPr>
    <w:sdtContent>
      <w:sdt>
        <w:sdtPr>
          <w:id w:val="7811553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729">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472, “epitrechon.”</w:t>
              </w:r>
            </w:t>
          </w:r>
        </w:t>
      </w:r>
    </w:p>
  </w:footnote>
  <w:footnote w:id="19939">
    <w:p>
      <w:pPr>
        <w:pStyle w:val="FootnoteText"/>
      </w:pPr>
      <w:r>
        <w:rPr>
          <w:rStyle w:val="FootnoteReference"/>
        </w:rPr>
        <w:footnoteRef/>
      </w:r>
      <w:r>
        <w:t xml:space="preserve">
          <w:r>
            <w:t xml:space="preserve">
              <w:r>
                <w:t xml:space="preserve"> Edersheim,</w:t>
              </w:r>
              <w:r>
                <w:rPr>
                  <w:i/>
                </w:rPr>
                <w:t xml:space="preserve"> Life and Times of Jesus the Messiah</w:t>
              </w:r>
              <w:r>
                <w:t xml:space="preserve">, 2:149.</w:t>
              </w:r>
            </w:t>
          </w:r>
        </w:t>
      </w:r>
    </w:p>
  </w:footnote>
  <w:footnote w:id="31942">
    <w:p>
      <w:pPr>
        <w:pStyle w:val="FootnoteText"/>
      </w:pPr>
      <w:r>
        <w:rPr>
          <w:rStyle w:val="FootnoteReference"/>
        </w:rPr>
        <w:footnoteRef/>
      </w:r>
      <w:r>
        <w:t xml:space="preserve">
          <w:r>
            <w:t xml:space="preserve">
              <w:r>
                <w:t xml:space="preserve"> Liddell and Scott, </w:t>
              </w:r>
              <w:r>
                <w:rPr>
                  <w:i/>
                </w:rPr>
                <w:t xml:space="preserve">Greek-English Lexicon</w:t>
              </w:r>
              <w:r>
                <w:t xml:space="preserve">, s.v. “γένεσις.”</w:t>
              </w:r>
            </w:t>
          </w:r>
        </w:t>
      </w:r>
    </w:p>
  </w:footnote>
  <w:footnote w:id="13738">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8.</w:t>
              </w:r>
            </w:t>
          </w:r>
        </w:t>
      </w:r>
    </w:p>
  </w:footnote>
  <w:footnote w:id="14546">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113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9270">
    <w:p>
      <w:pPr>
        <w:pStyle w:val="FootnoteText"/>
      </w:pPr>
      <w:r>
        <w:rPr>
          <w:rStyle w:val="FootnoteReference"/>
        </w:rPr>
        <w:footnoteRef/>
      </w:r>
      <w:r>
        <w:t xml:space="preserve">
          <w:r>
            <w:t xml:space="preserve">
              <w:r>
                <w:t xml:space="preserve"> William Hendriksen, </w:t>
              </w:r>
              <w:r>
                <w:rPr>
                  <w:i/>
                </w:rPr>
                <w:t xml:space="preserve">New Testament Commentary: Matthew</w:t>
              </w:r>
              <w:r>
                <w:t xml:space="preserve">, 131.</w:t>
              </w:r>
            </w:t>
          </w:r>
        </w:t>
      </w:r>
    </w:p>
  </w:footnote>
  <w:footnote w:id="20275">
    <w:p>
      <w:pPr>
        <w:pStyle w:val="FootnoteText"/>
      </w:pPr>
      <w:r>
        <w:rPr>
          <w:rStyle w:val="FootnoteReference"/>
        </w:rPr>
        <w:footnoteRef/>
      </w:r>
      <w:r>
        <w:t xml:space="preserve">
          <w:r>
            <w:t xml:space="preserve">
              <w:r>
                <w:t xml:space="preserve"> Bullinger, </w:t>
              </w:r>
              <w:r>
                <w:rPr>
                  <w:i/>
                </w:rPr>
                <w:t xml:space="preserve">Figures of Speech</w:t>
              </w:r>
              <w:r>
                <w:t xml:space="preserve">, 926, “asterismos.”</w:t>
              </w:r>
            </w:t>
          </w:r>
        </w:t>
      </w:r>
    </w:p>
  </w:footnote>
  <w:footnote w:id="14741">
    <w:p>
      <w:pPr>
        <w:pStyle w:val="FootnoteText"/>
      </w:pPr>
      <w:r>
        <w:rPr>
          <w:rStyle w:val="FootnoteReference"/>
        </w:rPr>
        <w:footnoteRef/>
      </w:r>
      <w:r>
        <w:t xml:space="preserve">
          <w:r>
            <w:t xml:space="preserve">
              <w:r>
                <w:t xml:space="preserve"> BDAG, s.v. “παραλαμβάνω.”</w:t>
              </w:r>
            </w:t>
          </w:r>
        </w:t>
      </w:r>
    </w:p>
  </w:footnote>
  <w:footnote w:id="15628">
    <w:p>
      <w:pPr>
        <w:pStyle w:val="FootnoteText"/>
      </w:pPr>
      <w:r>
        <w:rPr>
          <w:rStyle w:val="FootnoteReference"/>
        </w:rPr>
        <w:footnoteRef/>
      </w:r>
      <w:r>
        <w:t xml:space="preserve">
          <w:r>
            <w:t xml:space="preserve">
              <w:r>
                <w:t xml:space="preserve"> Grant Osborne, </w:t>
              </w:r>
              <w:r>
                <w:rPr>
                  <w:i/>
                </w:rPr>
                <w:t xml:space="preserve">Matthew</w:t>
              </w:r>
              <w:r>
                <w:t xml:space="preserve"> [ZECNT], 77.</w:t>
              </w:r>
            </w:t>
          </w:r>
        </w:t>
      </w:r>
    </w:p>
  </w:footnote>
  <w:footnote w:id="30633">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“παρθένος.”</w:t>
              </w:r>
            </w:t>
          </w:r>
        </w:t>
      </w:r>
    </w:p>
  </w:footnote>
  <w:footnote w:id="23742">
    <w:p>
      <w:pPr>
        <w:pStyle w:val="FootnoteText"/>
      </w:pPr>
      <w:r>
        <w:rPr>
          <w:rStyle w:val="FootnoteReference"/>
        </w:rPr>
        <w:footnoteRef/>
      </w:r>
      <w:r>
        <w:t xml:space="preserve">
          <w:r>
            <w:t xml:space="preserve">
              <w:r>
                <w:t xml:space="preserve"> See note in </w:t>
              </w:r>
              <w:r>
                <w:rPr>
                  <w:i/>
                </w:rPr>
                <w:t xml:space="preserve">The Source New Testament</w:t>
              </w:r>
              <w:r>
                <w:t xml:space="preserve"> by A. Nyland, 13n4.</w:t>
              </w:r>
            </w:t>
          </w:r>
        </w:t>
      </w:r>
    </w:p>
  </w:footnote>
  <w:footnote w:id="26195">
    <w:p>
      <w:pPr>
        <w:pStyle w:val="FootnoteText"/>
      </w:pPr>
      <w:r>
        <w:rPr>
          <w:rStyle w:val="FootnoteReference"/>
        </w:rPr>
        <w:footnoteRef/>
      </w:r>
      <w:r>
        <w:t xml:space="preserve">
          <w:r>
            <w:t xml:space="preserve">
              <w:r>
                <w:t xml:space="preserve"> Bullinger, </w:t>
              </w:r>
              <w:r>
                <w:rPr>
                  <w:i/>
                </w:rPr>
                <w:t xml:space="preserve">Figures of Speech</w:t>
              </w:r>
              <w:r>
                <w:t xml:space="preserve">, 472, “epitrechon.”</w:t>
              </w:r>
            </w:t>
          </w:r>
        </w:t>
      </w:r>
    </w:p>
  </w:footnote>
  <w:footnote w:id="22635">
    <w:p>
      <w:pPr>
        <w:pStyle w:val="FootnoteText"/>
      </w:pPr>
      <w:r>
        <w:rPr>
          <w:rStyle w:val="FootnoteReference"/>
        </w:rPr>
        <w:footnoteRef/>
      </w:r>
      <w:r>
        <w:t xml:space="preserve">
          <w:r>
            <w:t xml:space="preserve">
              <w:r>
                <w:t xml:space="preserve"> Thayer; BDAG; </w:t>
              </w:r>
              <w:r>
                <w:rPr>
                  <w:i/>
                </w:rPr>
                <w:t xml:space="preserve">EDNT</w:t>
              </w:r>
              <w:r>
                <w:t xml:space="preserve">.</w:t>
              </w:r>
            </w:t>
          </w:r>
        </w:t>
      </w:r>
    </w:p>
  </w:footnote>
  <w:footnote w:id="23437">
    <w:p>
      <w:pPr>
        <w:pStyle w:val="FootnoteText"/>
      </w:pPr>
      <w:r>
        <w:rPr>
          <w:rStyle w:val="FootnoteReference"/>
        </w:rPr>
        <w:footnoteRef/>
      </w:r>
      <w:r>
        <w:t xml:space="preserve">
          <w:r>
            <w:t xml:space="preserve">
              <w:r>
                <w:t xml:space="preserve"> Pomeroy, </w:t>
              </w:r>
              <w:r>
                <w:rPr>
                  <w:i/>
                </w:rPr>
                <w:t xml:space="preserve">Goddesses, Whores, Wives and Slaves</w:t>
              </w:r>
              <w:r>
                <w:t xml:space="preserve">, 168.</w:t>
              </w:r>
            </w:t>
          </w:r>
        </w:t>
      </w:r>
    </w:p>
  </w:footnote>
  <w:footnote w:id="10642">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 Victor Wierwille, </w:t>
              </w:r>
              <w:r>
                <w:rPr>
                  <w:i/>
                </w:rPr>
                <w:t xml:space="preserve">Jesus Christ Our Promised Seed</w:t>
              </w:r>
              <w:r>
                <w:t xml:space="preserve">.</w:t>
              </w:r>
            </w:t>
          </w:r>
        </w:t>
      </w:r>
    </w:p>
  </w:footnote>
  <w:footnote w:id="12687">
    <w:p>
      <w:pPr>
        <w:pStyle w:val="FootnoteText"/>
      </w:pPr>
      <w:r>
        <w:rPr>
          <w:rStyle w:val="FootnoteReference"/>
        </w:rPr>
        <w:footnoteRef/>
      </w:r>
      <w:r>
        <w:t xml:space="preserve">
          <w:r>
            <w:t xml:space="preserve">
              <w:r>
                <w:t xml:space="preserve"> Martin, </w:t>
              </w:r>
              <w:r>
                <w:rPr>
                  <w:i/>
                </w:rPr>
                <w:t xml:space="preserve">The Star that Astonished the World</w:t>
              </w:r>
              <w:r>
                <w:t xml:space="preserve">.</w:t>
              </w:r>
            </w:t>
          </w:r>
        </w:t>
      </w:r>
    </w:p>
  </w:footnote>
  <w:footnote w:id="18569">
    <w:p>
      <w:pPr>
        <w:pStyle w:val="FootnoteText"/>
      </w:pPr>
      <w:r>
        <w:rPr>
          <w:rStyle w:val="FootnoteReference"/>
        </w:rPr>
        <w:footnoteRef/>
      </w:r>
      <w:r>
        <w:t xml:space="preserve">
          <w:r>
            <w:t xml:space="preserve">
              <w:r>
                <w:t xml:space="preserve"> BDAG, s.v. “παραγίνομαι.”</w:t>
              </w:r>
            </w:t>
          </w:r>
        </w:t>
      </w:r>
    </w:p>
  </w:footnote>
  <w:footnote w:id="2189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9589">
    <w:p>
      <w:pPr>
        <w:pStyle w:val="FootnoteText"/>
      </w:pPr>
      <w:r>
        <w:rPr>
          <w:rStyle w:val="FootnoteReference"/>
        </w:rPr>
        <w:footnoteRef/>
      </w:r>
      <w:r>
        <w:t xml:space="preserve">
          <w:r>
            <w:t xml:space="preserve">
              <w:r>
                <w:t xml:space="preserve"> R. C. H. Lenski, Interpretation of St. Matthew’s Gospel, 62.</w:t>
              </w:r>
            </w:t>
          </w:r>
        </w:t>
      </w:r>
    </w:p>
  </w:footnote>
  <w:footnote w:id="14550">
    <w:p>
      <w:pPr>
        <w:pStyle w:val="FootnoteText"/>
      </w:pPr>
      <w:r>
        <w:rPr>
          <w:rStyle w:val="FootnoteReference"/>
        </w:rPr>
        <w:footnoteRef/>
      </w:r>
      <w:r>
        <w:t xml:space="preserve">
          <w:r>
            <w:t xml:space="preserve">
              <w:r>
                <w:t xml:space="preserve"> BDAG, s.v. “λαός.”</w:t>
              </w:r>
            </w:t>
          </w:r>
        </w:t>
      </w:r>
    </w:p>
  </w:footnote>
  <w:footnote w:id="13536">
    <w:p>
      <w:pPr>
        <w:pStyle w:val="FootnoteText"/>
      </w:pPr>
      <w:r>
        <w:rPr>
          <w:rStyle w:val="FootnoteReference"/>
        </w:rPr>
        <w:footnoteRef/>
      </w:r>
      <w:r>
        <w:t xml:space="preserve">
          <w:r>
            <w:t xml:space="preserve">
              <w:r>
                <w:t xml:space="preserve"> Cf. Lenski; Hendriksen, </w:t>
              </w:r>
              <w:r>
                <w:rPr>
                  <w:i/>
                </w:rPr>
                <w:t xml:space="preserve">New Testament Commentary: Matthew</w:t>
              </w:r>
              <w:r>
                <w:t xml:space="preserve">, 167.</w:t>
              </w:r>
            </w:t>
          </w:r>
        </w:t>
      </w:r>
    </w:p>
  </w:footnote>
  <w:footnote w:id="28547">
    <w:p>
      <w:pPr>
        <w:pStyle w:val="FootnoteText"/>
      </w:pPr>
      <w:r>
        <w:rPr>
          <w:rStyle w:val="FootnoteReference"/>
        </w:rPr>
        <w:footnoteRef/>
      </w:r>
      <w:r>
        <w:t xml:space="preserve">
          <w:r>
            <w:t xml:space="preserve">
              <w:r>
                <w:t xml:space="preserve"> BDAG, s.v. “χρόνος.”</w:t>
              </w:r>
            </w:t>
          </w:r>
        </w:t>
      </w:r>
    </w:p>
  </w:footnote>
  <w:footnote w:id="14455">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w:t>
              </w:r>
            </w:t>
          </w:r>
        </w:t>
      </w:r>
    </w:p>
  </w:footnote>
  <w:footnote w:id="16316">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1296">
    <w:p>
      <w:pPr>
        <w:pStyle w:val="FootnoteText"/>
      </w:pPr>
      <w:r>
        <w:rPr>
          <w:rStyle w:val="FootnoteReference"/>
        </w:rPr>
        <w:footnoteRef/>
      </w:r>
      <w:r>
        <w:t xml:space="preserve">
          <w:r>
            <w:t xml:space="preserve">
              <w:r>
                <w:t xml:space="preserve"> Britannica.com, s.v. “caravan: desert transport.”</w:t>
              </w:r>
            </w:t>
          </w:r>
        </w:t>
      </w:r>
    </w:p>
  </w:footnote>
  <w:footnote w:id="18433">
    <w:p>
      <w:pPr>
        <w:pStyle w:val="FootnoteText"/>
      </w:pPr>
      <w:r>
        <w:rPr>
          <w:rStyle w:val="FootnoteReference"/>
        </w:rPr>
        <w:footnoteRef/>
      </w:r>
      <w:r>
        <w:t xml:space="preserve">
          <w:r>
            <w:t xml:space="preserve">
              <w:r>
                <w:t xml:space="preserve"> Ulrich Luz, </w:t>
              </w:r>
              <w:r>
                <w:rPr>
                  <w:i/>
                </w:rPr>
                <w:t xml:space="preserve">Matthew 1-7</w:t>
              </w:r>
              <w:r>
                <w:t xml:space="preserve">, Hermeneia, 116.</w:t>
              </w:r>
            </w:t>
          </w:r>
        </w:t>
      </w:r>
    </w:p>
  </w:footnote>
  <w:footnote w:id="15829">
    <w:p>
      <w:pPr>
        <w:pStyle w:val="FootnoteText"/>
      </w:pPr>
      <w:r>
        <w:rPr>
          <w:rStyle w:val="FootnoteReference"/>
        </w:rPr>
        <w:footnoteRef/>
      </w:r>
      <w:r>
        <w:t xml:space="preserve">
          <w:r>
            <w:t xml:space="preserve">
              <w:r>
                <w:t xml:space="preserve"> Luz, </w:t>
              </w:r>
              <w:r>
                <w:rPr>
                  <w:i/>
                </w:rPr>
                <w:t xml:space="preserve">Matthew 1-7</w:t>
              </w:r>
              <w:r>
                <w:t xml:space="preserve">, Hermeneia, 116</w:t>
              </w:r>
            </w:t>
          </w:r>
        </w:t>
      </w:r>
    </w:p>
  </w:footnote>
  <w:footnote w:id="25329">
    <w:p>
      <w:pPr>
        <w:pStyle w:val="FootnoteText"/>
      </w:pPr>
      <w:r>
        <w:rPr>
          <w:rStyle w:val="FootnoteReference"/>
        </w:rPr>
        <w:footnoteRef/>
      </w:r>
      <w:r>
        <w:t xml:space="preserve">
          <w:r>
            <w:t xml:space="preserve">
              <w:r>
                <w:t xml:space="preserve"> Phillips, </w:t>
              </w:r>
              <w:r>
                <w:rPr>
                  <w:i/>
                </w:rPr>
                <w:t xml:space="preserve">Qataban and Sheba</w:t>
              </w:r>
              <w:r>
                <w:t xml:space="preserve">, 4.</w:t>
              </w:r>
            </w:t>
          </w:r>
        </w:t>
      </w:r>
    </w:p>
  </w:footnote>
  <w:footnote w:id="16071">
    <w:p>
      <w:pPr>
        <w:pStyle w:val="FootnoteText"/>
      </w:pPr>
      <w:r>
        <w:rPr>
          <w:rStyle w:val="FootnoteReference"/>
        </w:rPr>
        <w:footnoteRef/>
      </w:r>
      <w:r>
        <w:t xml:space="preserve">
          <w:r>
            <w:t xml:space="preserve">
              <w:r>
                <w:t xml:space="preserve"> Aldrete, </w:t>
              </w:r>
              <w:r>
                <w:rPr>
                  <w:i/>
                </w:rPr>
                <w:t xml:space="preserve">Daily Life in the Roman City</w:t>
              </w:r>
              <w:r>
                <w:t xml:space="preserve">, 97-99.</w:t>
              </w:r>
            </w:t>
          </w:r>
        </w:t>
      </w:r>
    </w:p>
  </w:footnote>
  <w:footnote w:id="21999">
    <w:p>
      <w:pPr>
        <w:pStyle w:val="FootnoteText"/>
      </w:pPr>
      <w:r>
        <w:rPr>
          <w:rStyle w:val="FootnoteReference"/>
        </w:rPr>
        <w:footnoteRef/>
      </w:r>
      <w:r>
        <w:t xml:space="preserve">
          <w:r>
            <w:t xml:space="preserve">
              <w:r>
                <w:t xml:space="preserve"> Louw and Nida, s.v. “χρηματίζω.”</w:t>
              </w:r>
            </w:t>
          </w:r>
        </w:t>
      </w:r>
    </w:p>
  </w:footnote>
  <w:footnote w:id="26924">
    <w:p>
      <w:pPr>
        <w:pStyle w:val="FootnoteText"/>
      </w:pPr>
      <w:r>
        <w:rPr>
          <w:rStyle w:val="FootnoteReference"/>
        </w:rPr>
        <w:footnoteRef/>
      </w:r>
      <w:r>
        <w:t xml:space="preserve">
          <w:r>
            <w:t xml:space="preserve">
              <w:r>
                <w:t xml:space="preserve"> </w:t>
              </w:r>
              <w:r>
                <w:rPr>
                  <w:i/>
                </w:rPr>
                <w:t xml:space="preserve">Theological Dictionary of the New Testament</w:t>
              </w:r>
              <w:r>
                <w:t xml:space="preserve">, s.v. “χρηματίζω”</w:t>
              </w:r>
            </w:t>
          </w:r>
        </w:t>
      </w:r>
    </w:p>
  </w:footnote>
  <w:footnote w:id="20570">
    <w:p>
      <w:pPr>
        <w:pStyle w:val="FootnoteText"/>
      </w:pPr>
      <w:r>
        <w:rPr>
          <w:rStyle w:val="FootnoteReference"/>
        </w:rPr>
        <w:footnoteRef/>
      </w:r>
      <w:r>
        <w:t xml:space="preserve">
          <w:r>
            <w:t xml:space="preserve">
              <w:r>
                <w:t xml:space="preserve"> Thayer, </w:t>
              </w:r>
              <w:r>
                <w:rPr>
                  <w:i/>
                </w:rPr>
                <w:t xml:space="preserve">Greek-English Lexicon</w:t>
              </w:r>
              <w:r>
                <w:t xml:space="preserve">, s.v. “χρηματίζω”</w:t>
              </w:r>
            </w:t>
          </w:r>
        </w:t>
      </w:r>
    </w:p>
  </w:footnote>
  <w:footnote w:id="11345">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“warned of,” 854.</w:t>
              </w:r>
            </w:t>
          </w:r>
        </w:t>
      </w:r>
    </w:p>
  </w:footnote>
  <w:footnote w:id="17530">
    <w:p>
      <w:pPr>
        <w:pStyle w:val="FootnoteText"/>
      </w:pPr>
      <w:r>
        <w:rPr>
          <w:rStyle w:val="FootnoteReference"/>
        </w:rPr>
        <w:footnoteRef/>
      </w:r>
      <w:r>
        <w:t xml:space="preserve">
          <w:r>
            <w:t xml:space="preserve">
              <w:r>
                <w:t xml:space="preserve"> </w:t>
              </w:r>
              <w:r>
                <w:rPr>
                  <w:i/>
                </w:rPr>
                <w:t xml:space="preserve">Meyer’s Commentary on the New Testament: Matthew</w:t>
              </w:r>
              <w:r>
                <w:t xml:space="preserve">, 63.</w:t>
              </w:r>
            </w:t>
          </w:r>
        </w:t>
      </w:r>
    </w:p>
  </w:footnote>
  <w:footnote w:id="18338">
    <w:p>
      <w:pPr>
        <w:pStyle w:val="FootnoteText"/>
      </w:pPr>
      <w:r>
        <w:rPr>
          <w:rStyle w:val="FootnoteReference"/>
        </w:rPr>
        <w:footnoteRef/>
      </w:r>
      <w:r>
        <w:t xml:space="preserve">
          <w:r>
            <w:t xml:space="preserve">
              <w:r>
                <w:t xml:space="preserve"> Vincent, </w:t>
              </w:r>
              <w:r>
                <w:rPr>
                  <w:i/>
                </w:rPr>
                <w:t xml:space="preserve">Word Studies</w:t>
              </w:r>
              <w:r>
                <w:t xml:space="preserve">, 21.</w:t>
              </w:r>
            </w:t>
          </w:r>
        </w:t>
      </w:r>
    </w:p>
  </w:footnote>
  <w:footnote w:id="16905">
    <w:p>
      <w:pPr>
        <w:pStyle w:val="FootnoteText"/>
      </w:pPr>
      <w:r>
        <w:rPr>
          <w:rStyle w:val="FootnoteReference"/>
        </w:rPr>
        <w:footnoteRef/>
      </w:r>
      <w:r>
        <w:t xml:space="preserve">
          <w:r>
            <w:t xml:space="preserve">
              <w:r>
                <w:t xml:space="preserve"> BDAG, s.v. “ἐμπαίζω”; Lenski, </w:t>
              </w:r>
              <w:r>
                <w:rPr>
                  <w:i/>
                </w:rPr>
                <w:t xml:space="preserve">St. Matthew’s Gospel</w:t>
              </w:r>
              <w:r>
                <w:t xml:space="preserve">, 79-80.</w:t>
              </w:r>
            </w:t>
          </w:r>
        </w:t>
      </w:r>
    </w:p>
  </w:footnote>
  <w:footnote w:id="29723">
    <w:p>
      <w:pPr>
        <w:pStyle w:val="FootnoteText"/>
      </w:pPr>
      <w:r>
        <w:rPr>
          <w:rStyle w:val="FootnoteReference"/>
        </w:rPr>
        <w:footnoteRef/>
      </w:r>
      <w:r>
        <w:t xml:space="preserve">
          <w:r>
            <w:t xml:space="preserve">
              <w:r>
                <w:t xml:space="preserve"> Cf. Bullinger, </w:t>
              </w:r>
              <w:r>
                <w:rPr>
                  <w:i/>
                </w:rPr>
                <w:t xml:space="preserve">Critical Lexicon</w:t>
              </w:r>
              <w:r>
                <w:t xml:space="preserve">, s.v. “weeping,” 862.</w:t>
              </w:r>
            </w:t>
          </w:r>
        </w:t>
      </w:r>
    </w:p>
  </w:footnote>
  <w:footnote w:id="10171">
    <w:p>
      <w:pPr>
        <w:pStyle w:val="FootnoteText"/>
      </w:pPr>
      <w:r>
        <w:rPr>
          <w:rStyle w:val="FootnoteReference"/>
        </w:rPr>
        <w:footnoteRef/>
      </w:r>
      <w:r>
        <w:t xml:space="preserve">
          <w:r>
            <w:t xml:space="preserve">
              <w:r>
                <w:t xml:space="preserve"> Cf. Bullinger,</w:t>
              </w:r>
              <w:r>
                <w:rPr>
                  <w:i/>
                </w:rPr>
                <w:t xml:space="preserve"> Companion Bible</w:t>
              </w:r>
              <w:r>
                <w:t xml:space="preserve">, Appendix 6.</w:t>
              </w:r>
            </w:t>
          </w:r>
        </w:t>
      </w:r>
    </w:p>
  </w:footnote>
  <w:footnote w:id="23487">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[TNTC], 100.</w:t>
              </w:r>
            </w:t>
          </w:r>
        </w:t>
      </w:r>
    </w:p>
  </w:footnote>
  <w:footnote w:id="23478">
    <w:p>
      <w:pPr>
        <w:pStyle w:val="FootnoteText"/>
      </w:pPr>
      <w:r>
        <w:rPr>
          <w:rStyle w:val="FootnoteReference"/>
        </w:rPr>
        <w:footnoteRef/>
      </w:r>
      <w:r>
        <w:t xml:space="preserve">
          <w:r>
            <w:t xml:space="preserve">
              <w:r>
                <w:t xml:space="preserve"> John P. Lange, </w:t>
              </w:r>
              <w:r>
                <w:rPr>
                  <w:i/>
                </w:rPr>
                <w:t xml:space="preserve">A Commentary on the Holy Scriptures: Matthew</w:t>
              </w:r>
              <w:r>
                <w:t xml:space="preserve">, 107.</w:t>
              </w:r>
            </w:t>
          </w:r>
        </w:t>
      </w:r>
    </w:p>
  </w:footnote>
  <w:footnote w:id="28967">
    <w:p>
      <w:pPr>
        <w:pStyle w:val="FootnoteText"/>
      </w:pPr>
      <w:r>
        <w:rPr>
          <w:rStyle w:val="FootnoteReference"/>
        </w:rPr>
        <w:footnoteRef/>
      </w:r>
      <w:r>
        <w:t xml:space="preserve">
          <w:r>
            <w:t xml:space="preserve">
              <w:r>
                <w:t xml:space="preserve"> Heinrich Meyer, </w:t>
              </w:r>
              <w:r>
                <w:rPr>
                  <w:i/>
                </w:rPr>
                <w:t xml:space="preserve">Meyer’s Commentary</w:t>
              </w:r>
              <w:r>
                <w:t xml:space="preserve">, 6:78.</w:t>
              </w:r>
            </w:t>
          </w:r>
        </w:t>
      </w:r>
    </w:p>
  </w:footnote>
  <w:footnote w:id="31103">
    <w:p>
      <w:pPr>
        <w:pStyle w:val="FootnoteText"/>
      </w:pPr>
      <w:r>
        <w:rPr>
          <w:rStyle w:val="FootnoteReference"/>
        </w:rPr>
        <w:footnoteRef/>
      </w:r>
      <w:r>
        <w:t xml:space="preserve">
          <w:r>
            <w:t xml:space="preserve">
              <w:r>
                <w:t xml:space="preserve"> D. A. Carson, </w:t>
              </w:r>
              <w:r>
                <w:rPr>
                  <w:i/>
                </w:rPr>
                <w:t xml:space="preserve">Matthew</w:t>
              </w:r>
              <w:r>
                <w:t xml:space="preserve">, The Expositor’s Bible Commentary, 8:104.</w:t>
              </w:r>
            </w:t>
          </w:r>
        </w:t>
      </w:r>
    </w:p>
  </w:footnote>
  <w:footnote w:id="15394">
    <w:p>
      <w:pPr>
        <w:pStyle w:val="FootnoteText"/>
      </w:pPr>
      <w:r>
        <w:rPr>
          <w:rStyle w:val="FootnoteReference"/>
        </w:rPr>
        <w:footnoteRef/>
      </w:r>
      <w:r>
        <w:t xml:space="preserve">
          <w:r>
            <w:t xml:space="preserve">
              <w:r>
                <w:t xml:space="preserve"> Wallace, </w:t>
              </w:r>
              <w:r>
                <w:rPr>
                  <w:i/>
                </w:rPr>
                <w:t xml:space="preserve">Greek Grammar Beyond the Basics</w:t>
              </w:r>
              <w:r>
                <w:t xml:space="preserve">, 371.</w:t>
              </w:r>
            </w:t>
          </w:r>
        </w:t>
      </w:r>
    </w:p>
  </w:footnote>
  <w:footnote w:id="32651">
    <w:p>
      <w:pPr>
        <w:pStyle w:val="FootnoteText"/>
      </w:pPr>
      <w:r>
        <w:rPr>
          <w:rStyle w:val="FootnoteReference"/>
        </w:rPr>
        <w:footnoteRef/>
      </w:r>
      <w:r>
        <w:t xml:space="preserve">
          <w:r>
            <w:t xml:space="preserve">
              <w:r>
                <w:t xml:space="preserve"> Davies and Allison, </w:t>
              </w:r>
              <w:r>
                <w:rPr>
                  <w:i/>
                </w:rPr>
                <w:t xml:space="preserve">Matthew 1-7</w:t>
              </w:r>
              <w:r>
                <w:t xml:space="preserve"> [ICC], vol. 1A:208.</w:t>
              </w:r>
            </w:t>
          </w:r>
        </w:t>
      </w:r>
    </w:p>
  </w:footnote>
  <w:footnote w:id="23572">
    <w:p>
      <w:pPr>
        <w:pStyle w:val="FootnoteText"/>
      </w:pPr>
      <w:r>
        <w:rPr>
          <w:rStyle w:val="FootnoteReference"/>
        </w:rPr>
        <w:footnoteRef/>
      </w:r>
      <w:r>
        <w:t xml:space="preserve">
          <w:r>
            <w:t xml:space="preserve">
              <w:r>
                <w:t xml:space="preserve"> Robert H. Mounce, </w:t>
              </w:r>
              <w:r>
                <w:rPr>
                  <w:i/>
                </w:rPr>
                <w:t xml:space="preserve">Matthew</w:t>
              </w:r>
              <w:r>
                <w:t xml:space="preserve"> [NIBCNT], 60.</w:t>
              </w:r>
            </w:t>
          </w:r>
        </w:t>
      </w:r>
    </w:p>
  </w:footnote>
  <w:footnote w:id="19539">
    <w:p>
      <w:pPr>
        <w:pStyle w:val="FootnoteText"/>
      </w:pPr>
      <w:r>
        <w:rPr>
          <w:rStyle w:val="FootnoteReference"/>
        </w:rPr>
        <w:footnoteRef/>
      </w:r>
      <w:r>
        <w:t xml:space="preserve">
          <w:r>
            <w:t xml:space="preserve">
              <w:r>
                <w:t xml:space="preserve"> R. C. H. Lenski, </w:t>
              </w:r>
              <w:r>
                <w:rPr>
                  <w:i/>
                </w:rPr>
                <w:t xml:space="preserve">St. Matthew’s Gospel</w:t>
              </w:r>
              <w:r>
                <w:t xml:space="preserve">, 126.</w:t>
              </w:r>
            </w:t>
          </w:r>
        </w:t>
      </w:r>
    </w:p>
  </w:footnote>
  <w:footnote w:id="30619">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65-66.</w:t>
              </w:r>
            </w:t>
          </w:r>
        </w:t>
      </w:r>
    </w:p>
  </w:footnote>
  <w:footnote w:id="19644">
    <w:p>
      <w:pPr>
        <w:pStyle w:val="FootnoteText"/>
      </w:pPr>
      <w:r>
        <w:rPr>
          <w:rStyle w:val="FootnoteReference"/>
        </w:rPr>
        <w:footnoteRef/>
      </w:r>
      <w:r>
        <w:t xml:space="preserve">
          <w:r>
            <w:t xml:space="preserve">
              <w:r>
                <w:t xml:space="preserve"> Gundry, </w:t>
              </w:r>
              <w:r>
                <w:rPr>
                  <w:i/>
                </w:rPr>
                <w:t xml:space="preserve">Matthew: A Commentary</w:t>
              </w:r>
              <w:r>
                <w:t xml:space="preserve">, 51.</w:t>
              </w:r>
            </w:t>
          </w:r>
        </w:t>
      </w:r>
    </w:p>
  </w:footnote>
  <w:footnote w:id="32428">
    <w:p>
      <w:pPr>
        <w:pStyle w:val="FootnoteText"/>
      </w:pPr>
      <w:r>
        <w:rPr>
          <w:rStyle w:val="FootnoteReference"/>
        </w:rPr>
        <w:footnoteRef/>
      </w:r>
      <w:r>
        <w:t xml:space="preserve">
          <w:r>
            <w:t xml:space="preserve">
              <w:r>
                <w:t xml:space="preserve"> Davies and Allison, </w:t>
              </w:r>
              <w:r>
                <w:rPr>
                  <w:i/>
                </w:rPr>
                <w:t xml:space="preserve">Matthew 1-7</w:t>
              </w:r>
              <w:r>
                <w:t xml:space="preserve"> [ICC], 328.</w:t>
              </w:r>
            </w:t>
          </w:r>
        </w:t>
      </w:r>
    </w:p>
  </w:footnote>
  <w:footnote w:id="16677">
    <w:p>
      <w:pPr>
        <w:pStyle w:val="FootnoteText"/>
      </w:pPr>
      <w:r>
        <w:rPr>
          <w:rStyle w:val="FootnoteReference"/>
        </w:rPr>
        <w:footnoteRef/>
      </w:r>
      <w:r>
        <w:t xml:space="preserve">
          <w:r>
            <w:t xml:space="preserve">
              <w:r>
                <w:t xml:space="preserve"> BDAG, s.v. “πειράζω.”</w:t>
              </w:r>
            </w:t>
          </w:r>
        </w:t>
      </w:r>
    </w:p>
  </w:footnote>
  <w:footnote w:id="29631">
    <w:p>
      <w:pPr>
        <w:pStyle w:val="FootnoteText"/>
      </w:pPr>
      <w:r>
        <w:rPr>
          <w:rStyle w:val="FootnoteReference"/>
        </w:rPr>
        <w:footnoteRef/>
      </w:r>
      <w:r>
        <w:t xml:space="preserve">
          <w:r>
            <w:t xml:space="preserve">
              <w:r>
                <w:t xml:space="preserve"> Irons, Dixon, and Smith, </w:t>
              </w:r>
              <w:r>
                <w:rPr>
                  <w:i/>
                </w:rPr>
                <w:t xml:space="preserve">The Son of God: Three Views on the Identity of Jesus</w:t>
              </w:r>
              <w:r>
                <w:t xml:space="preserve">, 27 (emphasis Smith’s).</w:t>
              </w:r>
            </w:t>
          </w:r>
        </w:t>
      </w:r>
    </w:p>
  </w:footnote>
  <w:footnote w:id="12826">
    <w:p>
      <w:pPr>
        <w:pStyle w:val="FootnoteText"/>
      </w:pPr>
      <w:r>
        <w:rPr>
          <w:rStyle w:val="FootnoteReference"/>
        </w:rPr>
        <w:footnoteRef/>
      </w:r>
      <w:r>
        <w:t xml:space="preserve">
          <w:r>
            <w:t xml:space="preserve">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t>
          </w:r>
        </w:t>
      </w:r>
    </w:p>
  </w:footnote>
  <w:footnote w:id="11235">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30758">
    <w:p>
      <w:pPr>
        <w:pStyle w:val="FootnoteText"/>
      </w:pPr>
      <w:r>
        <w:rPr>
          <w:rStyle w:val="FootnoteReference"/>
        </w:rPr>
        <w:footnoteRef/>
      </w:r>
      <w:r>
        <w:t xml:space="preserve">
          <w:r>
            <w:t xml:space="preserve">
              <w:r>
                <w:t xml:space="preserve"> Watson Mills, </w:t>
              </w:r>
              <w:r>
                <w:rPr>
                  <w:i/>
                </w:rPr>
                <w:t xml:space="preserve">Mercer Dictionary of the Bible</w:t>
              </w:r>
              <w:r>
                <w:t xml:space="preserve">, 92-93.</w:t>
              </w:r>
            </w:t>
          </w:r>
        </w:t>
      </w:r>
    </w:p>
  </w:footnote>
  <w:footnote w:id="32145">
    <w:p>
      <w:pPr>
        <w:pStyle w:val="FootnoteText"/>
      </w:pPr>
      <w:r>
        <w:rPr>
          <w:rStyle w:val="FootnoteReference"/>
        </w:rPr>
        <w:footnoteRef/>
      </w:r>
      <w:r>
        <w:t xml:space="preserve">
          <w:r>
            <w:t xml:space="preserve">
              <w:r>
                <w:t xml:space="preserve"> Robert H. Mounce, </w:t>
              </w:r>
              <w:r>
                <w:rPr>
                  <w:i/>
                </w:rPr>
                <w:t xml:space="preserve">Matthew</w:t>
              </w:r>
              <w:r>
                <w:t xml:space="preserve"> [NIBCNT], 39.</w:t>
              </w:r>
            </w:t>
          </w:r>
        </w:t>
      </w:r>
    </w:p>
  </w:footnote>
  <w:footnote w:id="16288">
    <w:p>
      <w:pPr>
        <w:pStyle w:val="FootnoteText"/>
      </w:pPr>
      <w:r>
        <w:rPr>
          <w:rStyle w:val="FootnoteReference"/>
        </w:rPr>
        <w:footnoteRef/>
      </w:r>
      <w:r>
        <w:t xml:space="preserve">
          <w:r>
            <w:t xml:space="preserve">
              <w:r>
                <w:t xml:space="preserve"> Bailey, </w:t>
              </w:r>
              <w:r>
                <w:rPr>
                  <w:i/>
                </w:rPr>
                <w:t xml:space="preserve">Jesus Through Middle Eastern Eyes</w:t>
              </w:r>
              <w:r>
                <w:t xml:space="preserve">, 68, 69, 158-59.</w:t>
              </w:r>
            </w:t>
          </w:r>
        </w:t>
      </w:r>
    </w:p>
  </w:footnote>
  <w:footnote w:id="17561">
    <w:p>
      <w:pPr>
        <w:pStyle w:val="FootnoteText"/>
      </w:pPr>
      <w:r>
        <w:rPr>
          <w:rStyle w:val="FootnoteReference"/>
        </w:rPr>
        <w:footnoteRef/>
      </w:r>
      <w:r>
        <w:t xml:space="preserve">
          <w:r>
            <w:t xml:space="preserve">
              <w:r>
                <w:t xml:space="preserve"> Davies and Allison, </w:t>
              </w:r>
              <w:r>
                <w:rPr>
                  <w:i/>
                </w:rPr>
                <w:t xml:space="preserve">Matthew</w:t>
              </w:r>
              <w:r>
                <w:t xml:space="preserve"> [ICC], 584.</w:t>
              </w:r>
            </w:t>
          </w:r>
        </w:t>
      </w:r>
    </w:p>
  </w:footnote>
  <w:footnote w:id="24548">
    <w:p>
      <w:pPr>
        <w:pStyle w:val="FootnoteText"/>
      </w:pPr>
      <w:r>
        <w:rPr>
          <w:rStyle w:val="FootnoteReference"/>
        </w:rPr>
        <w:footnoteRef/>
      </w:r>
      <w:r>
        <w:t xml:space="preserve">
          <w:r>
            <w:t xml:space="preserve">
              <w:r>
                <w:t xml:space="preserve"> George Wesley Buchanan, </w:t>
              </w:r>
              <w:r>
                <w:rPr>
                  <w:i/>
                </w:rPr>
                <w:t xml:space="preserve">To the Hebrews</w:t>
              </w:r>
              <w:r>
                <w:t xml:space="preserve"> [AB], xxv.</w:t>
              </w:r>
            </w:t>
          </w:r>
        </w:t>
      </w:r>
    </w:p>
  </w:footnote>
  <w:footnote w:id="12767">
    <w:p>
      <w:pPr>
        <w:pStyle w:val="FootnoteText"/>
      </w:pPr>
      <w:r>
        <w:rPr>
          <w:rStyle w:val="FootnoteReference"/>
        </w:rPr>
        <w:footnoteRef/>
      </w:r>
      <w:r>
        <w:t xml:space="preserve">
          <w:r>
            <w:t xml:space="preserve">
              <w:r>
                <w:t xml:space="preserve"> W. M. Thomson, </w:t>
              </w:r>
              <w:r>
                <w:rPr>
                  <w:i/>
                </w:rPr>
                <w:t xml:space="preserve">The Land and the Book</w:t>
              </w:r>
              <w:r>
                <w:t xml:space="preserve">, “Kersa-Tiberias,” 26.381-382.</w:t>
              </w:r>
            </w:t>
          </w:r>
        </w:t>
      </w:r>
    </w:p>
  </w:footnote>
  <w:footnote w:id="28482">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119.</w:t>
              </w:r>
            </w:t>
          </w:r>
        </w:t>
      </w:r>
    </w:p>
  </w:footnote>
  <w:footnote w:id="28170">
    <w:p>
      <w:pPr>
        <w:pStyle w:val="FootnoteText"/>
      </w:pPr>
      <w:r>
        <w:rPr>
          <w:rStyle w:val="FootnoteReference"/>
        </w:rPr>
        <w:footnoteRef/>
      </w:r>
      <w:r>
        <w:t xml:space="preserve">
          <w:r>
            <w:t xml:space="preserve">
              <w:r>
                <w:t xml:space="preserve"> BDAG, s.v. “ἐγώ,” “λέγω.”</w:t>
              </w:r>
            </w:t>
          </w:r>
        </w:t>
      </w:r>
    </w:p>
  </w:footnote>
  <w:footnote w:id="11573">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11.</w:t>
              </w:r>
            </w:t>
          </w:r>
        </w:t>
      </w:r>
    </w:p>
  </w:footnote>
  <w:footnote w:id="21955">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24560">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306.</w:t>
              </w:r>
            </w:t>
          </w:r>
        </w:t>
      </w:r>
    </w:p>
  </w:footnote>
  <w:footnote w:id="10059">
    <w:p>
      <w:pPr>
        <w:pStyle w:val="FootnoteText"/>
      </w:pPr>
      <w:r>
        <w:rPr>
          <w:rStyle w:val="FootnoteReference"/>
        </w:rPr>
        <w:footnoteRef/>
      </w:r>
      <w:r>
        <w:t xml:space="preserve">
          <w:r>
            <w:t xml:space="preserve">
              <w:r>
                <w:t xml:space="preserve"> Lenski, </w:t>
              </w:r>
              <w:r>
                <w:rPr>
                  <w:i/>
                </w:rPr>
                <w:t xml:space="preserve">St. Matthew’s Gospel</w:t>
              </w:r>
              <w:r>
                <w:t xml:space="preserve">, 233.</w:t>
              </w:r>
            </w:t>
          </w:r>
        </w:t>
      </w:r>
    </w:p>
  </w:footnote>
  <w:footnote w:id="22215">
    <w:p>
      <w:pPr>
        <w:pStyle w:val="FootnoteText"/>
      </w:pPr>
      <w:r>
        <w:rPr>
          <w:rStyle w:val="FootnoteReference"/>
        </w:rPr>
        <w:footnoteRef/>
      </w:r>
      <w:r>
        <w:t xml:space="preserve">
          <w:r>
            <w:t xml:space="preserve">
              <w:r>
                <w:t xml:space="preserve"> BDAG, s.v. “πονηρός.”</w:t>
              </w:r>
            </w:t>
          </w:r>
        </w:t>
      </w:r>
    </w:p>
  </w:footnote>
  <w:footnote w:id="15023">
    <w:p>
      <w:pPr>
        <w:pStyle w:val="FootnoteText"/>
      </w:pPr>
      <w:r>
        <w:rPr>
          <w:rStyle w:val="FootnoteReference"/>
        </w:rPr>
        <w:footnoteRef/>
      </w:r>
      <w:r>
        <w:t xml:space="preserve">
          <w:r>
            <w:t xml:space="preserve">
              <w:r>
                <w:t xml:space="preserve"> Craig Blomberg, </w:t>
              </w:r>
              <w:r>
                <w:rPr>
                  <w:i/>
                </w:rPr>
                <w:t xml:space="preserve">Matthew</w:t>
              </w:r>
              <w:r>
                <w:t xml:space="preserve"> [NAC], 113.</w:t>
              </w:r>
            </w:t>
          </w:r>
        </w:t>
      </w:r>
    </w:p>
  </w:footnote>
  <w:footnote w:id="12350">
    <w:p>
      <w:pPr>
        <w:pStyle w:val="FootnoteText"/>
      </w:pPr>
      <w:r>
        <w:rPr>
          <w:rStyle w:val="FootnoteReference"/>
        </w:rPr>
        <w:footnoteRef/>
      </w:r>
      <w:r>
        <w:t xml:space="preserve">
          <w:r>
            <w:t xml:space="preserve">
              <w:r>
                <w:t xml:space="preserve"> See Bruce Metzger, </w:t>
              </w:r>
              <w:r>
                <w:rPr>
                  <w:i/>
                </w:rPr>
                <w:t xml:space="preserve">A Textual Commentary on the Greek New Testament</w:t>
              </w:r>
              <w:r>
                <w:t xml:space="preserve">, 14.</w:t>
              </w:r>
            </w:t>
          </w:r>
        </w:t>
      </w:r>
    </w:p>
  </w:footnote>
  <w:footnote w:id="30046">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21663">
    <w:p>
      <w:pPr>
        <w:pStyle w:val="FootnoteText"/>
      </w:pPr>
      <w:r>
        <w:rPr>
          <w:rStyle w:val="FootnoteReference"/>
        </w:rPr>
        <w:footnoteRef/>
      </w:r>
      <w:r>
        <w:t xml:space="preserve">
          <w:r>
            <w:t xml:space="preserve">
              <w:r>
                <w:t xml:space="preserve"> See Metzger, </w:t>
              </w:r>
              <w:r>
                <w:rPr>
                  <w:i/>
                </w:rPr>
                <w:t xml:space="preserve">Textual Commentary</w:t>
              </w:r>
              <w:r>
                <w:t xml:space="preserve">, 15</w:t>
              </w:r>
            </w:t>
          </w:r>
        </w:t>
      </w:r>
    </w:p>
  </w:footnote>
  <w:footnote w:id="13925">
    <w:p>
      <w:pPr>
        <w:pStyle w:val="FootnoteText"/>
      </w:pPr>
      <w:r>
        <w:rPr>
          <w:rStyle w:val="FootnoteReference"/>
        </w:rPr>
        <w:footnoteRef/>
      </w:r>
      <w:r>
        <w:t xml:space="preserve">
          <w:r>
            <w:t xml:space="preserve">
              <w:r>
                <w:t xml:space="preserve"> BDAG, s.v. “βατταλογέω.”</w:t>
              </w:r>
            </w:t>
          </w:r>
        </w:t>
      </w:r>
    </w:p>
  </w:footnote>
  <w:footnote w:id="11956">
    <w:p>
      <w:pPr>
        <w:pStyle w:val="FootnoteText"/>
      </w:pPr>
      <w:r>
        <w:rPr>
          <w:rStyle w:val="FootnoteReference"/>
        </w:rPr>
        <w:footnoteRef/>
      </w:r>
      <w:r>
        <w:t xml:space="preserve">
          <w:r>
            <w:t xml:space="preserve">
              <w:r>
                <w:t xml:space="preserve"> Kittel, </w:t>
              </w:r>
              <w:r>
                <w:rPr>
                  <w:i/>
                </w:rPr>
                <w:t xml:space="preserve">TDNT</w:t>
              </w:r>
              <w:r>
                <w:t xml:space="preserve">, s.v. “βατταλογέω.”</w:t>
              </w:r>
            </w:t>
          </w:r>
        </w:t>
      </w:r>
    </w:p>
  </w:footnote>
  <w:footnote w:id="21779">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27851">
    <w:p>
      <w:pPr>
        <w:pStyle w:val="FootnoteText"/>
      </w:pPr>
      <w:r>
        <w:rPr>
          <w:rStyle w:val="FootnoteReference"/>
        </w:rPr>
        <w:footnoteRef/>
      </w:r>
      <w:r>
        <w:t xml:space="preserve">
          <w:r>
            <w:t xml:space="preserve">
              <w:r>
                <w:t xml:space="preserve"> BDAG, s.v. “πονηρός.”</w:t>
              </w:r>
            </w:t>
          </w:r>
        </w:t>
      </w:r>
    </w:p>
  </w:footnote>
  <w:footnote w:id="10784">
    <w:p>
      <w:pPr>
        <w:pStyle w:val="FootnoteText"/>
      </w:pPr>
      <w:r>
        <w:rPr>
          <w:rStyle w:val="FootnoteReference"/>
        </w:rPr>
        <w:footnoteRef/>
      </w:r>
      <w:r>
        <w:t xml:space="preserve">
          <w:r>
            <w:t xml:space="preserve">
              <w:r>
                <w:t xml:space="preserve"> Cf. Metzger, </w:t>
              </w:r>
              <w:r>
                <w:rPr>
                  <w:i/>
                </w:rPr>
                <w:t xml:space="preserve">Textual Commentary</w:t>
              </w:r>
              <w:r>
                <w:t xml:space="preserve">, 15.</w:t>
              </w:r>
            </w:t>
          </w:r>
        </w:t>
      </w:r>
    </w:p>
  </w:footnote>
  <w:footnote w:id="21549">
    <w:p>
      <w:pPr>
        <w:pStyle w:val="FootnoteText"/>
      </w:pPr>
      <w:r>
        <w:rPr>
          <w:rStyle w:val="FootnoteReference"/>
        </w:rPr>
        <w:footnoteRef/>
      </w:r>
      <w:r>
        <w:t xml:space="preserve">
          <w:r>
            <w:t xml:space="preserve">
              <w:r>
                <w:t xml:space="preserve"> John Lightfoot, </w:t>
              </w:r>
              <w:r>
                <w:rPr>
                  <w:i/>
                </w:rPr>
                <w:t xml:space="preserve">Commentary on the New Testament from the Talmud and Hebraica</w:t>
              </w:r>
              <w:r>
                <w:t xml:space="preserve">, 2:156 (emphasis original).</w:t>
              </w:r>
            </w:t>
          </w:r>
        </w:t>
      </w:r>
    </w:p>
  </w:footnote>
  <w:footnote w:id="10895">
    <w:p>
      <w:pPr>
        <w:pStyle w:val="FootnoteText"/>
      </w:pPr>
      <w:r>
        <w:rPr>
          <w:rStyle w:val="FootnoteReference"/>
        </w:rPr>
        <w:footnoteRef/>
      </w:r>
      <w:r>
        <w:t xml:space="preserve">
          <w:r>
            <w:t xml:space="preserve">
              <w:r>
                <w:t xml:space="preserve"> BDAG, s.v. “πῆχυς.”</w:t>
              </w:r>
            </w:t>
          </w:r>
        </w:t>
      </w:r>
    </w:p>
  </w:footnote>
  <w:footnote w:id="30253">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519-25.</w:t>
              </w:r>
            </w:t>
          </w:r>
        </w:t>
      </w:r>
    </w:p>
  </w:footnote>
  <w:footnote w:id="28683">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23509">
    <w:p>
      <w:pPr>
        <w:pStyle w:val="FootnoteText"/>
      </w:pPr>
      <w:r>
        <w:rPr>
          <w:rStyle w:val="FootnoteReference"/>
        </w:rPr>
        <w:footnoteRef/>
      </w:r>
      <w:r>
        <w:t xml:space="preserve">
          <w:r>
            <w:t xml:space="preserve">
              <w:r>
                <w:t xml:space="preserve"> Arndt and Gingrich, BDAG </w:t>
              </w:r>
              <w:r>
                <w:rPr>
                  <w:i/>
                </w:rPr>
                <w:t xml:space="preserve">Greek-English Lexicon of the New Testament and Other Early Christian Literature</w:t>
              </w:r>
              <w:r>
                <w:t xml:space="preserve">.</w:t>
              </w:r>
            </w:t>
          </w:r>
        </w:t>
      </w:r>
    </w:p>
  </w:footnote>
  <w:footnote w:id="15503">
    <w:p>
      <w:pPr>
        <w:pStyle w:val="FootnoteText"/>
      </w:pPr>
      <w:r>
        <w:rPr>
          <w:rStyle w:val="FootnoteReference"/>
        </w:rPr>
        <w:footnoteRef/>
      </w:r>
      <w:r>
        <w:t xml:space="preserve">
          <w:r>
            <w:t xml:space="preserve">
              <w:r>
                <w:t xml:space="preserve"> Friberg, </w:t>
              </w:r>
              <w:r>
                <w:rPr>
                  <w:i/>
                </w:rPr>
                <w:t xml:space="preserve">Analytical Lexicon</w:t>
              </w:r>
              <w:r>
                <w:t xml:space="preserve">, s.v. “ἅρπαξ.”</w:t>
              </w:r>
            </w:t>
          </w:r>
        </w:t>
      </w:r>
    </w:p>
  </w:footnote>
  <w:footnote w:id="10789">
    <w:p>
      <w:pPr>
        <w:pStyle w:val="FootnoteText"/>
      </w:pPr>
      <w:r>
        <w:rPr>
          <w:rStyle w:val="FootnoteReference"/>
        </w:rPr>
        <w:footnoteRef/>
      </w:r>
      <w:r>
        <w:t xml:space="preserve">
          <w:r>
            <w:t xml:space="preserve">
              <w:r>
                <w:t xml:space="preserve"> R. C. H. Lenski,</w:t>
              </w:r>
              <w:r>
                <w:rPr>
                  <w:i/>
                </w:rPr>
                <w:t xml:space="preserve"> St. Matthew’s Gospel</w:t>
              </w:r>
              <w:r>
                <w:t xml:space="preserve">, 313.</w:t>
              </w:r>
            </w:t>
          </w:r>
        </w:t>
      </w:r>
    </w:p>
  </w:footnote>
  <w:footnote w:id="21482">
    <w:p>
      <w:pPr>
        <w:pStyle w:val="FootnoteText"/>
      </w:pPr>
      <w:r>
        <w:rPr>
          <w:rStyle w:val="FootnoteReference"/>
        </w:rPr>
        <w:footnoteRef/>
      </w:r>
      <w:r>
        <w:t xml:space="preserve">
          <w:r>
            <w:t xml:space="preserve">
              <w:r>
                <w:t xml:space="preserve"> Werblowsky and Wigoder, </w:t>
              </w:r>
              <w:r>
                <w:rPr>
                  <w:i/>
                </w:rPr>
                <w:t xml:space="preserve">Encyclopedia of the Jewish Religion</w:t>
              </w:r>
              <w:r>
                <w:t xml:space="preserve">, 15.</w:t>
              </w:r>
            </w:t>
          </w:r>
        </w:t>
      </w:r>
    </w:p>
  </w:footnote>
  <w:footnote w:id="21796">
    <w:p>
      <w:pPr>
        <w:pStyle w:val="FootnoteText"/>
      </w:pPr>
      <w:r>
        <w:rPr>
          <w:rStyle w:val="FootnoteReference"/>
        </w:rPr>
        <w:footnoteRef/>
      </w:r>
      <w:r>
        <w:t xml:space="preserve">
          <w:r>
            <w:t xml:space="preserve">
              <w:r>
                <w:t xml:space="preserve"> Ryrie, </w:t>
              </w:r>
              <w:r>
                <w:rPr>
                  <w:i/>
                </w:rPr>
                <w:t xml:space="preserve">The Ryrie Study Bible</w:t>
              </w:r>
              <w:r>
                <w:t xml:space="preserve">, text note on Genesis 16:9.</w:t>
              </w:r>
            </w:t>
          </w:r>
        </w:t>
      </w:r>
    </w:p>
  </w:footnote>
  <w:footnote w:id="11181">
    <w:p>
      <w:pPr>
        <w:pStyle w:val="FootnoteText"/>
      </w:pPr>
      <w:r>
        <w:rPr>
          <w:rStyle w:val="FootnoteReference"/>
        </w:rPr>
        <w:footnoteRef/>
      </w:r>
      <w:r>
        <w:t xml:space="preserve">
          <w:r>
            <w:t xml:space="preserve">
              <w:r>
                <w:t xml:space="preserve"> </w:t>
              </w:r>
              <w:r>
                <w:rPr>
                  <w:i/>
                </w:rPr>
                <w:t xml:space="preserve">The NIV Study Bible</w:t>
              </w:r>
              <w:r>
                <w:t xml:space="preserve"> (1984), text note on Genesis 16:7.</w:t>
              </w:r>
            </w:t>
          </w:r>
        </w:t>
      </w:r>
    </w:p>
  </w:footnote>
  <w:footnote w:id="20172">
    <w:p>
      <w:pPr>
        <w:pStyle w:val="FootnoteText"/>
      </w:pPr>
      <w:r>
        <w:rPr>
          <w:rStyle w:val="FootnoteReference"/>
        </w:rPr>
        <w:footnoteRef/>
      </w:r>
      <w:r>
        <w:t xml:space="preserve">
          <w:r>
            <w:t xml:space="preserve">
              <w:r>
                <w:t xml:space="preserve"> Louw and Nida, </w:t>
              </w:r>
              <w:r>
                <w:rPr>
                  <w:i/>
                </w:rPr>
                <w:t xml:space="preserve">Greek-English Lexicon of the New Testament based on Semantic Domains</w:t>
              </w:r>
              <w:r>
                <w:t xml:space="preserve">, 1:368.</w:t>
              </w:r>
            </w:t>
          </w:r>
        </w:t>
      </w:r>
    </w:p>
  </w:footnote>
  <w:footnote w:id="29402">
    <w:p>
      <w:pPr>
        <w:pStyle w:val="FootnoteText"/>
      </w:pPr>
      <w:r>
        <w:rPr>
          <w:rStyle w:val="FootnoteReference"/>
        </w:rPr>
        <w:footnoteRef/>
      </w:r>
      <w:r>
        <w:t xml:space="preserve">
          <w:r>
            <w:t xml:space="preserve">
              <w:r>
                <w:t xml:space="preserve"> Gundry, Matthew: </w:t>
              </w:r>
              <w:r>
                <w:rPr>
                  <w:i/>
                </w:rPr>
                <w:t xml:space="preserve">A Commentary on His Literary and Theological Art</w:t>
              </w:r>
              <w:r>
                <w:t xml:space="preserve">, 146.</w:t>
              </w:r>
            </w:t>
          </w:r>
        </w:t>
      </w:r>
    </w:p>
  </w:footnote>
  <w:footnote w:id="23823">
    <w:p>
      <w:pPr>
        <w:pStyle w:val="FootnoteText"/>
      </w:pPr>
      <w:r>
        <w:rPr>
          <w:rStyle w:val="FootnoteReference"/>
        </w:rPr>
        <w:footnoteRef/>
      </w:r>
      <w:r>
        <w:t xml:space="preserve">
          <w:r>
            <w:t xml:space="preserve">
              <w:r>
                <w:t xml:space="preserve"> Newman and Stine, </w:t>
              </w:r>
              <w:r>
                <w:rPr>
                  <w:i/>
                </w:rPr>
                <w:t xml:space="preserve">A Translators Handbook on the Gospel of Matthew</w:t>
              </w:r>
              <w:r>
                <w:t xml:space="preserve">, 238.</w:t>
              </w:r>
            </w:t>
          </w:r>
        </w:t>
      </w:r>
    </w:p>
  </w:footnote>
  <w:footnote w:id="11653">
    <w:p>
      <w:pPr>
        <w:pStyle w:val="FootnoteText"/>
      </w:pPr>
      <w:r>
        <w:rPr>
          <w:rStyle w:val="FootnoteReference"/>
        </w:rPr>
        <w:footnoteRef/>
      </w:r>
      <w:r>
        <w:t xml:space="preserve">
          <w:r>
            <w:t xml:space="preserve">
              <w:r>
                <w:t xml:space="preserve"> Cf. BDAG, s.v. “ἐπιτιμάω.”</w:t>
              </w:r>
            </w:t>
          </w:r>
        </w:t>
      </w:r>
    </w:p>
  </w:footnote>
  <w:footnote w:id="10180">
    <w:p>
      <w:pPr>
        <w:pStyle w:val="FootnoteText"/>
      </w:pPr>
      <w:r>
        <w:rPr>
          <w:rStyle w:val="FootnoteReference"/>
        </w:rPr>
        <w:footnoteRef/>
      </w:r>
      <w:r>
        <w:t xml:space="preserve">
          <w:r>
            <w:t xml:space="preserve">
              <w:r>
                <w:t xml:space="preserve"> Guelich, </w:t>
              </w:r>
              <w:r>
                <w:rPr>
                  <w:i/>
                </w:rPr>
                <w:t xml:space="preserve">Mark Mark 1:1-8:26</w:t>
              </w:r>
              <w:r>
                <w:t xml:space="preserve"> [WBC], 57.</w:t>
              </w:r>
            </w:t>
          </w:r>
        </w:t>
      </w:r>
    </w:p>
  </w:footnote>
  <w:footnote w:id="25201">
    <w:p>
      <w:pPr>
        <w:pStyle w:val="FootnoteText"/>
      </w:pPr>
      <w:r>
        <w:rPr>
          <w:rStyle w:val="FootnoteReference"/>
        </w:rPr>
        <w:footnoteRef/>
      </w:r>
      <w:r>
        <w:t xml:space="preserve">
          <w:r>
            <w:t xml:space="preserve">
              <w:r>
                <w:t xml:space="preserve"> Kittel, </w:t>
              </w:r>
              <w:r>
                <w:rPr>
                  <w:i/>
                </w:rPr>
                <w:t xml:space="preserve">Theological Dictionary</w:t>
              </w:r>
              <w:r>
                <w:t xml:space="preserve">, s.v.“ ἐπιτιμάω,” 2:626.</w:t>
              </w:r>
            </w:t>
          </w:r>
        </w:t>
      </w:r>
    </w:p>
  </w:footnote>
  <w:footnote w:id="20226">
    <w:p>
      <w:pPr>
        <w:pStyle w:val="FootnoteText"/>
      </w:pPr>
      <w:r>
        <w:rPr>
          <w:rStyle w:val="FootnoteReference"/>
        </w:rPr>
        <w:footnoteRef/>
      </w:r>
      <w:r>
        <w:t xml:space="preserve">
          <w:r>
            <w:t xml:space="preserve">
              <w:r>
                <w:t xml:space="preserve"> R. C. H. Lenski,</w:t>
              </w:r>
              <w:r>
                <w:rPr>
                  <w:i/>
                </w:rPr>
                <w:t xml:space="preserve"> St. Matthew’s Gospel</w:t>
              </w:r>
              <w:r>
                <w:t xml:space="preserve">, 329.</w:t>
              </w:r>
            </w:t>
          </w:r>
        </w:t>
      </w:r>
    </w:p>
  </w:footnote>
  <w:footnote w:id="30487">
    <w:p>
      <w:pPr>
        <w:pStyle w:val="FootnoteText"/>
      </w:pPr>
      <w:r>
        <w:rPr>
          <w:rStyle w:val="FootnoteReference"/>
        </w:rPr>
        <w:footnoteRef/>
      </w:r>
      <w:r>
        <w:t xml:space="preserve">
          <w:r>
            <w:t xml:space="preserve">
              <w:r>
                <w:t xml:space="preserve"> Srauss, </w:t>
              </w:r>
              <w:r>
                <w:rPr>
                  <w:i/>
                </w:rPr>
                <w:t xml:space="preserve">Exegetical Commentary on the New Testament</w:t>
              </w:r>
              <w:r>
                <w:t xml:space="preserve">, commentary on Mark 1:24, 92.</w:t>
              </w:r>
            </w:t>
          </w:r>
        </w:t>
      </w:r>
    </w:p>
  </w:footnote>
  <w:footnote w:id="23228">
    <w:p>
      <w:pPr>
        <w:pStyle w:val="FootnoteText"/>
      </w:pPr>
      <w:r>
        <w:rPr>
          <w:rStyle w:val="FootnoteReference"/>
        </w:rPr>
        <w:footnoteRef/>
      </w:r>
      <w:r>
        <w:t xml:space="preserve">
          <w:r>
            <w:t xml:space="preserve">
              <w:r>
                <w:t xml:space="preserve"> Spiros Zodhiates, </w:t>
              </w:r>
              <w:r>
                <w:rPr>
                  <w:i/>
                </w:rPr>
                <w:t xml:space="preserve">The Complete Word Study Dictionary</w:t>
              </w:r>
              <w:r>
                <w:t xml:space="preserve">, 395.</w:t>
              </w:r>
            </w:t>
          </w:r>
        </w:t>
      </w:r>
    </w:p>
  </w:footnote>
  <w:footnote w:id="18409">
    <w:p>
      <w:pPr>
        <w:pStyle w:val="FootnoteText"/>
      </w:pPr>
      <w:r>
        <w:rPr>
          <w:rStyle w:val="FootnoteReference"/>
        </w:rPr>
        <w:footnoteRef/>
      </w:r>
      <w:r>
        <w:t xml:space="preserve">
          <w:r>
            <w:t xml:space="preserve">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t>
          </w:r>
        </w:t>
      </w:r>
    </w:p>
  </w:footnote>
  <w:footnote w:id="23442">
    <w:p>
      <w:pPr>
        <w:pStyle w:val="FootnoteText"/>
      </w:pPr>
      <w:r>
        <w:rPr>
          <w:rStyle w:val="FootnoteReference"/>
        </w:rPr>
        <w:footnoteRef/>
      </w:r>
      <w:r>
        <w:t xml:space="preserve">
          <w:r>
            <w:t xml:space="preserve">
              <w:r>
                <w:t xml:space="preserve"> R. C. H. Lenski, </w:t>
              </w:r>
              <w:r>
                <w:rPr>
                  <w:i/>
                </w:rPr>
                <w:t xml:space="preserve">St. Matthew’s Gospel</w:t>
              </w:r>
              <w:r>
                <w:t xml:space="preserve">, 353.</w:t>
              </w:r>
            </w:t>
          </w:r>
        </w:t>
      </w:r>
    </w:p>
  </w:footnote>
  <w:footnote w:id="22268">
    <w:p>
      <w:pPr>
        <w:pStyle w:val="FootnoteText"/>
      </w:pPr>
      <w:r>
        <w:rPr>
          <w:rStyle w:val="FootnoteReference"/>
        </w:rPr>
        <w:footnoteRef/>
      </w:r>
      <w:r>
        <w:t xml:space="preserve">
          <w:r>
            <w:t xml:space="preserve">
              <w:r>
                <w:t xml:space="preserve"> BDAG, s.v. “βλασφημέω.”</w:t>
              </w:r>
            </w:t>
          </w:r>
        </w:t>
      </w:r>
    </w:p>
  </w:footnote>
  <w:footnote w:id="27589">
    <w:p>
      <w:pPr>
        <w:pStyle w:val="FootnoteText"/>
      </w:pPr>
      <w:r>
        <w:rPr>
          <w:rStyle w:val="FootnoteReference"/>
        </w:rPr>
        <w:footnoteRef/>
      </w:r>
      <w:r>
        <w:t xml:space="preserve">
          <w:r>
            <w:t xml:space="preserve">
              <w:r>
                <w:t xml:space="preserve"> Louw and Nida, s.v. “βλασφημία.”</w:t>
              </w:r>
            </w:t>
          </w:r>
        </w:t>
      </w:r>
    </w:p>
  </w:footnote>
  <w:footnote w:id="27145">
    <w:p>
      <w:pPr>
        <w:pStyle w:val="FootnoteText"/>
      </w:pPr>
      <w:r>
        <w:rPr>
          <w:rStyle w:val="FootnoteReference"/>
        </w:rPr>
        <w:footnoteRef/>
      </w:r>
      <w:r>
        <w:t xml:space="preserve">
          <w:r>
            <w:t xml:space="preserve">
              <w:r>
                <w:t xml:space="preserve"> BDAG, s.v. “βλασφημία.”</w:t>
              </w:r>
            </w:t>
          </w:r>
        </w:t>
      </w:r>
    </w:p>
  </w:footnote>
  <w:footnote w:id="25887">
    <w:p>
      <w:pPr>
        <w:pStyle w:val="FootnoteText"/>
      </w:pPr>
      <w:r>
        <w:rPr>
          <w:rStyle w:val="FootnoteReference"/>
        </w:rPr>
        <w:footnoteRef/>
      </w:r>
      <w:r>
        <w:t xml:space="preserve">
          <w:r>
            <w:t xml:space="preserve">
              <w:r>
                <w:t xml:space="preserve"> Thayer, s.v. “βλασφημία.”</w:t>
              </w:r>
            </w:t>
          </w:r>
        </w:t>
      </w:r>
    </w:p>
  </w:footnote>
  <w:footnote w:id="14497">
    <w:p>
      <w:pPr>
        <w:pStyle w:val="FootnoteText"/>
      </w:pPr>
      <w:r>
        <w:rPr>
          <w:rStyle w:val="FootnoteReference"/>
        </w:rPr>
        <w:footnoteRef/>
      </w:r>
      <w:r>
        <w:t xml:space="preserve">
          <w:r>
            <w:t xml:space="preserve">
              <w:r>
                <w:t xml:space="preserve"> Craig Blomberg, </w:t>
              </w:r>
              <w:r>
                <w:rPr>
                  <w:i/>
                </w:rPr>
                <w:t xml:space="preserve">Matthew</w:t>
              </w:r>
              <w:r>
                <w:t xml:space="preserve"> [NAC], 161.</w:t>
              </w:r>
            </w:t>
          </w:r>
        </w:t>
      </w:r>
    </w:p>
  </w:footnote>
  <w:footnote w:id="12451">
    <w:p>
      <w:pPr>
        <w:pStyle w:val="FootnoteText"/>
      </w:pPr>
      <w:r>
        <w:rPr>
          <w:rStyle w:val="FootnoteReference"/>
        </w:rPr>
        <w:footnoteRef/>
      </w:r>
      <w:r>
        <w:t xml:space="preserve">
          <w:r>
            <w:t xml:space="preserve">
              <w:r>
                <w:t xml:space="preserve"> See R. Trench, </w:t>
              </w:r>
              <w:r>
                <w:rPr>
                  <w:i/>
                </w:rPr>
                <w:t xml:space="preserve">Synonyms of the New Testament</w:t>
              </w:r>
              <w:r>
                <w:t xml:space="preserve">.</w:t>
              </w:r>
            </w:t>
          </w:r>
        </w:t>
      </w:r>
    </w:p>
  </w:footnote>
  <w:footnote w:id="17444">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412.</w:t>
              </w:r>
            </w:t>
          </w:r>
        </w:t>
      </w:r>
    </w:p>
  </w:footnote>
  <w:footnote w:id="17754">
    <w:p>
      <w:pPr>
        <w:pStyle w:val="FootnoteText"/>
      </w:pPr>
      <w:r>
        <w:rPr>
          <w:rStyle w:val="FootnoteReference"/>
        </w:rPr>
        <w:footnoteRef/>
      </w:r>
      <w:r>
        <w:t xml:space="preserve">
          <w:r>
            <w:t xml:space="preserve">
              <w:r>
                <w:t xml:space="preserve"> R. C. H. Lenski, </w:t>
              </w:r>
              <w:r>
                <w:rPr>
                  <w:i/>
                </w:rPr>
                <w:t xml:space="preserve">St. Matthew’s Gospel</w:t>
              </w:r>
              <w:r>
                <w:t xml:space="preserve">, 390.</w:t>
              </w:r>
            </w:t>
          </w:r>
        </w:t>
      </w:r>
    </w:p>
  </w:footnote>
  <w:footnote w:id="13506">
    <w:p>
      <w:pPr>
        <w:pStyle w:val="FootnoteText"/>
      </w:pPr>
      <w:r>
        <w:rPr>
          <w:rStyle w:val="FootnoteReference"/>
        </w:rPr>
        <w:footnoteRef/>
      </w:r>
      <w:r>
        <w:t xml:space="preserve">
          <w:r>
            <w:t xml:space="preserve">
              <w:r>
                <w:t xml:space="preserve"> Craig Blomberg, </w:t>
              </w:r>
              <w:r>
                <w:rPr>
                  <w:i/>
                </w:rPr>
                <w:t xml:space="preserve">Matthew</w:t>
              </w:r>
              <w:r>
                <w:t xml:space="preserve"> [NAC], 170.</w:t>
              </w:r>
            </w:t>
          </w:r>
        </w:t>
      </w:r>
    </w:p>
  </w:footnote>
  <w:footnote w:id="11066">
    <w:p>
      <w:pPr>
        <w:pStyle w:val="FootnoteText"/>
      </w:pPr>
      <w:r>
        <w:rPr>
          <w:rStyle w:val="FootnoteReference"/>
        </w:rPr>
        <w:footnoteRef/>
      </w:r>
      <w:r>
        <w:t xml:space="preserve">
          <w:r>
            <w:t xml:space="preserve">
              <w:r>
                <w:t xml:space="preserve"> David Hill, </w:t>
              </w:r>
              <w:r>
                <w:rPr>
                  <w:i/>
                </w:rPr>
                <w:t xml:space="preserve">The Gospel of Matthew</w:t>
              </w:r>
              <w:r>
                <w:t xml:space="preserve">, New Century Bible Commentary, 187.</w:t>
              </w:r>
            </w:t>
          </w:r>
        </w:t>
      </w:r>
    </w:p>
  </w:footnote>
  <w:footnote w:id="24759">
    <w:p>
      <w:pPr>
        <w:pStyle w:val="FootnoteText"/>
      </w:pPr>
      <w:r>
        <w:rPr>
          <w:rStyle w:val="FootnoteReference"/>
        </w:rPr>
        <w:footnoteRef/>
      </w:r>
      <w:r>
        <w:t xml:space="preserve">
          <w:r>
            <w:t xml:space="preserve">
              <w:r>
                <w:t xml:space="preserve"> H. N. Ridderbos, </w:t>
              </w:r>
              <w:r>
                <w:rPr>
                  <w:i/>
                </w:rPr>
                <w:t xml:space="preserve">Matthew</w:t>
              </w:r>
              <w:r>
                <w:t xml:space="preserve">, Bible Student’s Commentary, 201.</w:t>
              </w:r>
            </w:t>
          </w:r>
        </w:t>
      </w:r>
    </w:p>
  </w:footnote>
  <w:footnote w:id="24266">
    <w:p>
      <w:pPr>
        <w:pStyle w:val="FootnoteText"/>
      </w:pPr>
      <w:r>
        <w:rPr>
          <w:rStyle w:val="FootnoteReference"/>
        </w:rPr>
        <w:footnoteRef/>
      </w:r>
      <w:r>
        <w:t xml:space="preserve">
          <w:r>
            <w:t xml:space="preserve">
              <w:r>
                <w:t xml:space="preserve"> Bullinger, </w:t>
              </w:r>
              <w:r>
                <w:rPr>
                  <w:i/>
                </w:rPr>
                <w:t xml:space="preserve">Companion Bible</w:t>
              </w:r>
              <w:r>
                <w:t xml:space="preserve">, 1329.</w:t>
              </w:r>
            </w:t>
          </w:r>
        </w:t>
      </w:r>
    </w:p>
  </w:footnote>
  <w:footnote w:id="29697">
    <w:p>
      <w:pPr>
        <w:pStyle w:val="FootnoteText"/>
      </w:pPr>
      <w:r>
        <w:rPr>
          <w:rStyle w:val="FootnoteReference"/>
        </w:rPr>
        <w:footnoteRef/>
      </w:r>
      <w:r>
        <w:t xml:space="preserve">
          <w:r>
            <w:t xml:space="preserve">
              <w:r>
                <w:t xml:space="preserve"> Davies and Allison, </w:t>
              </w:r>
              <w:r>
                <w:rPr>
                  <w:i/>
                </w:rPr>
                <w:t xml:space="preserve">Matthew 8-18</w:t>
              </w:r>
              <w:r>
                <w:t xml:space="preserve"> [ICC], 189-90.</w:t>
              </w:r>
            </w:t>
          </w:r>
        </w:t>
      </w:r>
    </w:p>
  </w:footnote>
  <w:footnote w:id="20787">
    <w:p>
      <w:pPr>
        <w:pStyle w:val="FootnoteText"/>
      </w:pPr>
      <w:r>
        <w:rPr>
          <w:rStyle w:val="FootnoteReference"/>
        </w:rPr>
        <w:footnoteRef/>
      </w:r>
      <w:r>
        <w:t xml:space="preserve">
          <w:r>
            <w:t xml:space="preserve">
              <w:r>
                <w:t xml:space="preserve"> BDAG, s.v. “ἀπόλλυμι.”</w:t>
              </w:r>
            </w:t>
          </w:r>
        </w:t>
      </w:r>
    </w:p>
  </w:footnote>
  <w:footnote w:id="31285">
    <w:p>
      <w:pPr>
        <w:pStyle w:val="FootnoteText"/>
      </w:pPr>
      <w:r>
        <w:rPr>
          <w:rStyle w:val="FootnoteReference"/>
        </w:rPr>
        <w:footnoteRef/>
      </w:r>
      <w:r>
        <w:t xml:space="preserve">
          <w:r>
            <w:t xml:space="preserve">
              <w:r>
                <w:t xml:space="preserve"> Cf. Bullinger, </w:t>
              </w:r>
              <w:r>
                <w:rPr>
                  <w:i/>
                </w:rPr>
                <w:t xml:space="preserve">Figures of Speech</w:t>
              </w:r>
              <w:r>
                <w:t xml:space="preserve">, 1, “ellipsis.”</w:t>
              </w:r>
            </w:t>
          </w:r>
        </w:t>
      </w:r>
    </w:p>
  </w:footnote>
  <w:footnote w:id="18433">
    <w:p>
      <w:pPr>
        <w:pStyle w:val="FootnoteText"/>
      </w:pPr>
      <w:r>
        <w:rPr>
          <w:rStyle w:val="FootnoteReference"/>
        </w:rPr>
        <w:footnoteRef/>
      </w:r>
      <w:r>
        <w:t xml:space="preserve">
          <w:r>
            <w:t xml:space="preserve">
              <w:r>
                <w:t xml:space="preserve"> Louw and Nida, </w:t>
              </w:r>
              <w:r>
                <w:rPr>
                  <w:i/>
                </w:rPr>
                <w:t xml:space="preserve">Greek-English Lexicon</w:t>
              </w:r>
              <w:r>
                <w:t xml:space="preserve">, s.v. “ἄνευ.”</w:t>
              </w:r>
            </w:t>
          </w:r>
        </w:t>
      </w:r>
    </w:p>
  </w:footnote>
  <w:footnote w:id="30252">
    <w:p>
      <w:pPr>
        <w:pStyle w:val="FootnoteText"/>
      </w:pPr>
      <w:r>
        <w:rPr>
          <w:rStyle w:val="FootnoteReference"/>
        </w:rPr>
        <w:footnoteRef/>
      </w:r>
      <w:r>
        <w:t xml:space="preserve">
          <w:r>
            <w:t xml:space="preserve">
              <w:r>
                <w:t xml:space="preserve"> BDAG, s.v. “ἐπιλανθάνομαι.”</w:t>
              </w:r>
            </w:t>
          </w:r>
        </w:t>
      </w:r>
    </w:p>
  </w:footnote>
  <w:footnote w:id="3118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1:83.</w:t>
              </w:r>
            </w:t>
          </w:r>
        </w:t>
      </w:r>
    </w:p>
  </w:footnote>
  <w:footnote w:id="28937">
    <w:p>
      <w:pPr>
        <w:pStyle w:val="FootnoteText"/>
      </w:pPr>
      <w:r>
        <w:rPr>
          <w:rStyle w:val="FootnoteReference"/>
        </w:rPr>
        <w:footnoteRef/>
      </w:r>
      <w:r>
        <w:t xml:space="preserve">
          <w:r>
            <w:t xml:space="preserve">
              <w:r>
                <w:t xml:space="preserve"> BaumanMedical.com, accessed Feb. 1, 2019.</w:t>
              </w:r>
            </w:t>
          </w:r>
        </w:t>
      </w:r>
    </w:p>
  </w:footnote>
  <w:footnote w:id="27328">
    <w:p>
      <w:pPr>
        <w:pStyle w:val="FootnoteText"/>
      </w:pPr>
      <w:r>
        <w:rPr>
          <w:rStyle w:val="FootnoteReference"/>
        </w:rPr>
        <w:footnoteRef/>
      </w:r>
      <w:r>
        <w:t xml:space="preserve">
          <w:r>
            <w:t xml:space="preserve">
              <w:r>
                <w:t xml:space="preserve"> Good, </w:t>
              </w:r>
              <w:r>
                <w:rPr>
                  <w:i/>
                </w:rPr>
                <w:t xml:space="preserve">Rosh HaShanah and the Messianic Kingdom to Come</w:t>
              </w:r>
              <w:r>
                <w:t xml:space="preserve">, 2.</w:t>
              </w:r>
            </w:t>
          </w:r>
        </w:t>
      </w:r>
    </w:p>
  </w:footnote>
  <w:footnote w:id="28561">
    <w:p>
      <w:pPr>
        <w:pStyle w:val="FootnoteText"/>
      </w:pPr>
      <w:r>
        <w:rPr>
          <w:rStyle w:val="FootnoteReference"/>
        </w:rPr>
        <w:footnoteRef/>
      </w:r>
      <w:r>
        <w:t xml:space="preserve">
          <w:r>
            <w:t xml:space="preserve">
              <w:r>
                <w:t xml:space="preserve"> Edersheim, </w:t>
              </w:r>
              <w:r>
                <w:rPr>
                  <w:i/>
                </w:rPr>
                <w:t xml:space="preserve">The Life and Times of Jesus the Messiah</w:t>
              </w:r>
              <w:r>
                <w:t xml:space="preserve">, 2:736.</w:t>
              </w:r>
            </w:t>
          </w:r>
        </w:t>
      </w:r>
    </w:p>
  </w:footnote>
  <w:footnote w:id="19695">
    <w:p>
      <w:pPr>
        <w:pStyle w:val="FootnoteText"/>
      </w:pPr>
      <w:r>
        <w:rPr>
          <w:rStyle w:val="FootnoteReference"/>
        </w:rPr>
        <w:footnoteRef/>
      </w:r>
      <w:r>
        <w:t xml:space="preserve">
          <w:r>
            <w:t xml:space="preserve">
              <w:r>
                <w:t xml:space="preserve"> Good, </w:t>
              </w:r>
              <w:r>
                <w:rPr>
                  <w:i/>
                </w:rPr>
                <w:t xml:space="preserve">Rosh HaShanah</w:t>
              </w:r>
              <w:r>
                <w:t xml:space="preserve">, 5.</w:t>
              </w:r>
            </w:t>
          </w:r>
        </w:t>
      </w:r>
    </w:p>
  </w:footnote>
  <w:footnote w:id="24511">
    <w:p>
      <w:pPr>
        <w:pStyle w:val="FootnoteText"/>
      </w:pPr>
      <w:r>
        <w:rPr>
          <w:rStyle w:val="FootnoteReference"/>
        </w:rPr>
        <w:footnoteRef/>
      </w:r>
      <w:r>
        <w:t xml:space="preserve">
          <w:r>
            <w:t xml:space="preserve">
              <w:r>
                <w:t xml:space="preserve"> Cf. </w:t>
              </w:r>
              <w:r>
                <w:rPr>
                  <w:i/>
                </w:rPr>
                <w:t xml:space="preserve">Lange’s Commentary</w:t>
              </w:r>
              <w:r>
                <w:t xml:space="preserve">, 206.</w:t>
              </w:r>
            </w:t>
          </w:r>
        </w:t>
      </w:r>
    </w:p>
  </w:footnote>
  <w:footnote w:id="22162">
    <w:p>
      <w:pPr>
        <w:pStyle w:val="FootnoteText"/>
      </w:pPr>
      <w:r>
        <w:rPr>
          <w:rStyle w:val="FootnoteReference"/>
        </w:rPr>
        <w:footnoteRef/>
      </w:r>
      <w:r>
        <w:t xml:space="preserve">
          <w:r>
            <w:t xml:space="preserve">
              <w:r>
                <w:t xml:space="preserve"> Cf. Robert H. Mounce, </w:t>
              </w:r>
              <w:r>
                <w:rPr>
                  <w:i/>
                </w:rPr>
                <w:t xml:space="preserve">Matthew</w:t>
              </w:r>
              <w:r>
                <w:t xml:space="preserve"> [NIBCNT], 104; Morris, </w:t>
              </w:r>
              <w:r>
                <w:rPr>
                  <w:i/>
                </w:rPr>
                <w:t xml:space="preserve">Gospel According to Matthew</w:t>
              </w:r>
              <w:r>
                <w:t xml:space="preserve"> [PNTC], 281.</w:t>
              </w:r>
            </w:t>
          </w:r>
        </w:t>
      </w:r>
    </w:p>
  </w:footnote>
  <w:footnote w:id="15740">
    <w:p>
      <w:pPr>
        <w:pStyle w:val="FootnoteText"/>
      </w:pPr>
      <w:r>
        <w:rPr>
          <w:rStyle w:val="FootnoteReference"/>
        </w:rPr>
        <w:footnoteRef/>
      </w:r>
      <w:r>
        <w:t xml:space="preserve">
          <w:r>
            <w:t xml:space="preserve">
              <w:r>
                <w:t xml:space="preserve"> Cf. R. C. H. Lenski, </w:t>
              </w:r>
              <w:r>
                <w:rPr>
                  <w:i/>
                </w:rPr>
                <w:t xml:space="preserve">St. Matthew’s Gospel</w:t>
              </w:r>
              <w:r>
                <w:t xml:space="preserve">, 472; Bullinger, </w:t>
              </w:r>
              <w:r>
                <w:rPr>
                  <w:i/>
                </w:rPr>
                <w:t xml:space="preserve">Companion Bible</w:t>
              </w:r>
              <w:r>
                <w:t xml:space="preserve">, 1331.</w:t>
              </w:r>
            </w:t>
          </w:r>
        </w:t>
      </w:r>
    </w:p>
  </w:footnote>
  <w:footnote w:id="25933">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19394">
    <w:p>
      <w:pPr>
        <w:pStyle w:val="FootnoteText"/>
      </w:pPr>
      <w:r>
        <w:rPr>
          <w:rStyle w:val="FootnoteReference"/>
        </w:rPr>
        <w:footnoteRef/>
      </w:r>
      <w:r>
        <w:t xml:space="preserve">
          <w:r>
            <w:t xml:space="preserve">
              <w:r>
                <w:t xml:space="preserve"> BDAG, s.v. “ἁρπάζω.”</w:t>
              </w:r>
            </w:t>
          </w:r>
        </w:t>
      </w:r>
    </w:p>
  </w:footnote>
  <w:footnote w:id="17429">
    <w:p>
      <w:pPr>
        <w:pStyle w:val="FootnoteText"/>
      </w:pPr>
      <w:r>
        <w:rPr>
          <w:rStyle w:val="FootnoteReference"/>
        </w:rPr>
        <w:footnoteRef/>
      </w:r>
      <w:r>
        <w:t xml:space="preserve">
          <w:r>
            <w:t xml:space="preserve">
              <w:r>
                <w:t xml:space="preserve"> R. C. H. Lenski, </w:t>
              </w:r>
              <w:r>
                <w:rPr>
                  <w:i/>
                </w:rPr>
                <w:t xml:space="preserve">St. Matthew’s Gospel</w:t>
              </w:r>
              <w:r>
                <w:t xml:space="preserve">, 439.</w:t>
              </w:r>
            </w:t>
          </w:r>
        </w:t>
      </w:r>
    </w:p>
  </w:footnote>
  <w:footnote w:id="13729">
    <w:p>
      <w:pPr>
        <w:pStyle w:val="FootnoteText"/>
      </w:pPr>
      <w:r>
        <w:rPr>
          <w:rStyle w:val="FootnoteReference"/>
        </w:rPr>
        <w:footnoteRef/>
      </w:r>
      <w:r>
        <w:t xml:space="preserve">
          <w:r>
            <w:t xml:space="preserve">
              <w:r>
                <w:t xml:space="preserve"> Cf. Metzger, </w:t>
              </w:r>
              <w:r>
                <w:rPr>
                  <w:i/>
                </w:rPr>
                <w:t xml:space="preserve">Textual Commentary</w:t>
              </w:r>
              <w:r>
                <w:t xml:space="preserve">, 29.</w:t>
              </w:r>
            </w:t>
          </w:r>
        </w:t>
      </w:r>
    </w:p>
  </w:footnote>
  <w:footnote w:id="21830">
    <w:p>
      <w:pPr>
        <w:pStyle w:val="FootnoteText"/>
      </w:pPr>
      <w:r>
        <w:rPr>
          <w:rStyle w:val="FootnoteReference"/>
        </w:rPr>
        <w:footnoteRef/>
      </w:r>
      <w:r>
        <w:t xml:space="preserve">
          <w:r>
            <w:t xml:space="preserve">
              <w:r>
                <w:t xml:space="preserve"> Moulton and Milligan, </w:t>
              </w:r>
              <w:r>
                <w:rPr>
                  <w:i/>
                </w:rPr>
                <w:t xml:space="preserve">Vocabulary of Greek New Testament</w:t>
              </w:r>
              <w:r>
                <w:t xml:space="preserve">, s.v. “βούλομαι,” 115.</w:t>
              </w:r>
            </w:t>
          </w:r>
        </w:t>
      </w:r>
    </w:p>
  </w:footnote>
  <w:footnote w:id="15257">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504.</w:t>
              </w:r>
            </w:t>
          </w:r>
        </w:t>
      </w:r>
    </w:p>
  </w:footnote>
  <w:footnote w:id="11887">
    <w:p>
      <w:pPr>
        <w:pStyle w:val="FootnoteText"/>
      </w:pPr>
      <w:r>
        <w:rPr>
          <w:rStyle w:val="FootnoteReference"/>
        </w:rPr>
        <w:footnoteRef/>
      </w:r>
      <w:r>
        <w:t xml:space="preserve">
          <w:r>
            <w:t xml:space="preserve">
              <w:r>
                <w:t xml:space="preserve"> Cf. BDAG, s.v. “ἐπιτιμάω.”</w:t>
              </w:r>
            </w:t>
          </w:r>
        </w:t>
      </w:r>
    </w:p>
  </w:footnote>
  <w:footnote w:id="11719">
    <w:p>
      <w:pPr>
        <w:pStyle w:val="FootnoteText"/>
      </w:pPr>
      <w:r>
        <w:rPr>
          <w:rStyle w:val="FootnoteReference"/>
        </w:rPr>
        <w:footnoteRef/>
      </w:r>
      <w:r>
        <w:t xml:space="preserve">
          <w:r>
            <w:t xml:space="preserve">
              <w:r>
                <w:t xml:space="preserve"> Bullinger, </w:t>
              </w:r>
              <w:r>
                <w:rPr>
                  <w:i/>
                </w:rPr>
                <w:t xml:space="preserve">Figures of Speech</w:t>
              </w:r>
              <w:r>
                <w:t xml:space="preserve">, 155, “litotes” (“meiosis”).</w:t>
              </w:r>
            </w:t>
          </w:r>
        </w:t>
      </w:r>
    </w:p>
  </w:footnote>
  <w:footnote w:id="31637">
    <w:p>
      <w:pPr>
        <w:pStyle w:val="FootnoteText"/>
      </w:pPr>
      <w:r>
        <w:rPr>
          <w:rStyle w:val="FootnoteReference"/>
        </w:rPr>
        <w:footnoteRef/>
      </w:r>
      <w:r>
        <w:t xml:space="preserve">
          <w:r>
            <w:t xml:space="preserve">
              <w:r>
                <w:t xml:space="preserve"> Cf. Bullinger, </w:t>
              </w:r>
              <w:r>
                <w:rPr>
                  <w:i/>
                </w:rPr>
                <w:t xml:space="preserve">Figures of Speech</w:t>
              </w:r>
              <w:r>
                <w:t xml:space="preserve">, 943, “erotesis.”</w:t>
              </w:r>
            </w:t>
          </w:r>
        </w:t>
      </w:r>
    </w:p>
  </w:footnote>
  <w:footnote w:id="19953">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499.</w:t>
              </w:r>
            </w:t>
          </w:r>
        </w:t>
      </w:r>
    </w:p>
  </w:footnote>
  <w:footnote w:id="25290">
    <w:p>
      <w:pPr>
        <w:pStyle w:val="FootnoteText"/>
      </w:pPr>
      <w:r>
        <w:rPr>
          <w:rStyle w:val="FootnoteReference"/>
        </w:rPr>
        <w:footnoteRef/>
      </w:r>
      <w:r>
        <w:t xml:space="preserve">
          <w:r>
            <w:t xml:space="preserve">
              <w:r>
                <w:t xml:space="preserve"> See also, Graeser, Lynn, Schoenheit, </w:t>
              </w:r>
              <w:r>
                <w:rPr>
                  <w:i/>
                </w:rPr>
                <w:t xml:space="preserve">The Gift of Holy Spirit: The Power to Be Like Christ</w:t>
              </w:r>
              <w:r>
                <w:t xml:space="preserve">.</w:t>
              </w:r>
            </w:t>
          </w:r>
        </w:t>
      </w:r>
    </w:p>
  </w:footnote>
  <w:footnote w:id="29170">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22029">
    <w:p>
      <w:pPr>
        <w:pStyle w:val="FootnoteText"/>
      </w:pPr>
      <w:r>
        <w:rPr>
          <w:rStyle w:val="FootnoteReference"/>
        </w:rPr>
        <w:footnoteRef/>
      </w:r>
      <w:r>
        <w:t xml:space="preserve">
          <w:r>
            <w:t xml:space="preserve">
              <w:r>
                <w:t xml:space="preserve"> R. C. H. Lenski, </w:t>
              </w:r>
              <w:r>
                <w:rPr>
                  <w:i/>
                </w:rPr>
                <w:t xml:space="preserve">St. Matthew’s Gospel</w:t>
              </w:r>
              <w:r>
                <w:t xml:space="preserve">, 486.</w:t>
              </w:r>
            </w:t>
          </w:r>
        </w:t>
      </w:r>
    </w:p>
  </w:footnote>
  <w:footnote w:id="11997">
    <w:p>
      <w:pPr>
        <w:pStyle w:val="FootnoteText"/>
      </w:pPr>
      <w:r>
        <w:rPr>
          <w:rStyle w:val="FootnoteReference"/>
        </w:rPr>
        <w:footnoteRef/>
      </w:r>
      <w:r>
        <w:t xml:space="preserve">
          <w:r>
            <w:t xml:space="preserve">
              <w:r>
                <w:t xml:space="preserve"> Cf. BDAG, s.v. “ἀργός.”</w:t>
              </w:r>
            </w:t>
          </w:r>
        </w:t>
      </w:r>
    </w:p>
  </w:footnote>
  <w:footnote w:id="19062">
    <w:p>
      <w:pPr>
        <w:pStyle w:val="FootnoteText"/>
      </w:pPr>
      <w:r>
        <w:rPr>
          <w:rStyle w:val="FootnoteReference"/>
        </w:rPr>
        <w:footnoteRef/>
      </w:r>
      <w:r>
        <w:t xml:space="preserve">
          <w:r>
            <w:t xml:space="preserve">
              <w:r>
                <w:t xml:space="preserve"> BDAG, s.v. “πλειῶν.”</w:t>
              </w:r>
            </w:t>
          </w:r>
        </w:t>
      </w:r>
    </w:p>
  </w:footnote>
  <w:footnote w:id="27994">
    <w:p>
      <w:pPr>
        <w:pStyle w:val="FootnoteText"/>
      </w:pPr>
      <w:r>
        <w:rPr>
          <w:rStyle w:val="FootnoteReference"/>
        </w:rPr>
        <w:footnoteRef/>
      </w:r>
      <w:r>
        <w:t xml:space="preserve">
          <w:r>
            <w:t xml:space="preserve">
              <w:r>
                <w:t xml:space="preserve"> BDAG, s.v. “πονηρός.”</w:t>
              </w:r>
            </w:t>
          </w:r>
        </w:t>
      </w:r>
    </w:p>
  </w:footnote>
  <w:footnote w:id="26515">
    <w:p>
      <w:pPr>
        <w:pStyle w:val="FootnoteText"/>
      </w:pPr>
      <w:r>
        <w:rPr>
          <w:rStyle w:val="FootnoteReference"/>
        </w:rPr>
        <w:footnoteRef/>
      </w:r>
      <w:r>
        <w:t xml:space="preserve">
          <w:r>
            <w:t xml:space="preserve">
              <w:r>
                <w:t xml:space="preserve"> Harold and Alma Moldenke, </w:t>
              </w:r>
              <w:r>
                <w:rPr>
                  <w:i/>
                </w:rPr>
                <w:t xml:space="preserve">Plants of the Bible</w:t>
              </w:r>
              <w:r>
                <w:t xml:space="preserve">, 134.</w:t>
              </w:r>
            </w:t>
          </w:r>
        </w:t>
      </w:r>
    </w:p>
  </w:footnote>
  <w:footnote w:id="20247">
    <w:p>
      <w:pPr>
        <w:pStyle w:val="FootnoteText"/>
      </w:pPr>
      <w:r>
        <w:rPr>
          <w:rStyle w:val="FootnoteReference"/>
        </w:rPr>
        <w:footnoteRef/>
      </w:r>
      <w:r>
        <w:t xml:space="preserve">
          <w:r>
            <w:t xml:space="preserve">
              <w:r>
                <w:t xml:space="preserve"> Harold N. and Alma L. Moldenke, </w:t>
              </w:r>
              <w:r>
                <w:rPr>
                  <w:i/>
                </w:rPr>
                <w:t xml:space="preserve">Plants of the Bible</w:t>
              </w:r>
              <w:r>
                <w:t xml:space="preserve">, 59, 60.</w:t>
              </w:r>
            </w:t>
          </w:r>
        </w:t>
      </w:r>
    </w:p>
  </w:footnote>
  <w:footnote w:id="18440">
    <w:p>
      <w:pPr>
        <w:pStyle w:val="FootnoteText"/>
      </w:pPr>
      <w:r>
        <w:rPr>
          <w:rStyle w:val="FootnoteReference"/>
        </w:rPr>
        <w:footnoteRef/>
      </w:r>
      <w:r>
        <w:t xml:space="preserve">
          <w:r>
            <w:t xml:space="preserve">
              <w:r>
                <w:t xml:space="preserve"> Moldenke, </w:t>
              </w:r>
              <w:r>
                <w:rPr>
                  <w:i/>
                </w:rPr>
                <w:t xml:space="preserve">Plants of the Bible</w:t>
              </w:r>
              <w:r>
                <w:t xml:space="preserve">, 61.</w:t>
              </w:r>
            </w:t>
          </w:r>
        </w:t>
      </w:r>
    </w:p>
  </w:footnote>
  <w:footnote w:id="28805">
    <w:p>
      <w:pPr>
        <w:pStyle w:val="FootnoteText"/>
      </w:pPr>
      <w:r>
        <w:rPr>
          <w:rStyle w:val="FootnoteReference"/>
        </w:rPr>
        <w:footnoteRef/>
      </w:r>
      <w:r>
        <w:t xml:space="preserve">
          <w:r>
            <w:t xml:space="preserve">
              <w:r>
                <w:t xml:space="preserve"> Andrew Lawler, “The Pearl Trade,” Archaeology Magazine, March/April 2012, 48.</w:t>
              </w:r>
            </w:t>
          </w:r>
        </w:t>
      </w:r>
    </w:p>
  </w:footnote>
  <w:footnote w:id="26434">
    <w:p>
      <w:pPr>
        <w:pStyle w:val="FootnoteText"/>
      </w:pPr>
      <w:r>
        <w:rPr>
          <w:rStyle w:val="FootnoteReference"/>
        </w:rPr>
        <w:footnoteRef/>
      </w:r>
      <w:r>
        <w:t xml:space="preserve">
          <w:r>
            <w:t xml:space="preserve">
              <w:r>
                <w:t xml:space="preserve"> Friberg, s.v. “βάλλω.”</w:t>
              </w:r>
            </w:t>
          </w:r>
        </w:t>
      </w:r>
    </w:p>
  </w:footnote>
  <w:footnote w:id="26618">
    <w:p>
      <w:pPr>
        <w:pStyle w:val="FootnoteText"/>
      </w:pPr>
      <w:r>
        <w:rPr>
          <w:rStyle w:val="FootnoteReference"/>
        </w:rPr>
        <w:footnoteRef/>
      </w:r>
      <w:r>
        <w:t xml:space="preserve">
          <w:r>
            <w:t xml:space="preserve">
              <w:r>
                <w:t xml:space="preserve"> Lenski, </w:t>
              </w:r>
              <w:r>
                <w:rPr>
                  <w:i/>
                </w:rPr>
                <w:t xml:space="preserve">Matthew</w:t>
              </w:r>
              <w:r>
                <w:t xml:space="preserve">, 583.</w:t>
              </w:r>
            </w:t>
          </w:r>
        </w:t>
      </w:r>
    </w:p>
  </w:footnote>
  <w:footnote w:id="19978">
    <w:p>
      <w:pPr>
        <w:pStyle w:val="FootnoteText"/>
      </w:pPr>
      <w:r>
        <w:rPr>
          <w:rStyle w:val="FootnoteReference"/>
        </w:rPr>
        <w:footnoteRef/>
      </w:r>
      <w:r>
        <w:t xml:space="preserve">
          <w:r>
            <w:t xml:space="preserve">
              <w:r>
                <w:t xml:space="preserve"> Lenski, </w:t>
              </w:r>
              <w:r>
                <w:rPr>
                  <w:i/>
                </w:rPr>
                <w:t xml:space="preserve">Matthew</w:t>
              </w:r>
              <w:r>
                <w:t xml:space="preserve">, 587.</w:t>
              </w:r>
            </w:t>
          </w:r>
        </w:t>
      </w:r>
    </w:p>
  </w:footnote>
  <w:footnote w:id="30099">
    <w:p>
      <w:pPr>
        <w:pStyle w:val="FootnoteText"/>
      </w:pPr>
      <w:r>
        <w:rPr>
          <w:rStyle w:val="FootnoteReference"/>
        </w:rPr>
        <w:footnoteRef/>
      </w:r>
      <w:r>
        <w:t xml:space="preserve">
          <w:r>
            <w:t xml:space="preserve">
              <w:r>
                <w:t xml:space="preserve"> BDAG, s.v. “σέβομαι.”</w:t>
              </w:r>
            </w:t>
          </w:r>
        </w:t>
      </w:r>
    </w:p>
  </w:footnote>
  <w:footnote w:id="14812">
    <w:p>
      <w:pPr>
        <w:pStyle w:val="FootnoteText"/>
      </w:pPr>
      <w:r>
        <w:rPr>
          <w:rStyle w:val="FootnoteReference"/>
        </w:rPr>
        <w:footnoteRef/>
      </w:r>
      <w:r>
        <w:t xml:space="preserve">
          <w:r>
            <w:t xml:space="preserve">
              <w:r>
                <w:t xml:space="preserve"> BDAG, s.v. “ἀποστέλλω,” def. 1.</w:t>
              </w:r>
            </w:t>
          </w:r>
        </w:t>
      </w:r>
    </w:p>
  </w:footnote>
  <w:footnote w:id="32130">
    <w:p>
      <w:pPr>
        <w:pStyle w:val="FootnoteText"/>
      </w:pPr>
      <w:r>
        <w:rPr>
          <w:rStyle w:val="FootnoteReference"/>
        </w:rPr>
        <w:footnoteRef/>
      </w:r>
      <w:r>
        <w:t xml:space="preserve">
          <w:r>
            <w:t xml:space="preserve">
              <w:r>
                <w:t xml:space="preserve"> Lenski, </w:t>
              </w:r>
              <w:r>
                <w:rPr>
                  <w:i/>
                </w:rPr>
                <w:t xml:space="preserve">St. Matthew’s Gospel</w:t>
              </w:r>
              <w:r>
                <w:t xml:space="preserve">, 623.</w:t>
              </w:r>
            </w:t>
          </w:r>
        </w:t>
      </w:r>
    </w:p>
  </w:footnote>
  <w:footnote w:id="30735">
    <w:p>
      <w:pPr>
        <w:pStyle w:val="FootnoteText"/>
      </w:pPr>
      <w:r>
        <w:rPr>
          <w:rStyle w:val="FootnoteReference"/>
        </w:rPr>
        <w:footnoteRef/>
      </w:r>
      <w:r>
        <w:t xml:space="preserve">
          <w:r>
            <w:t xml:space="preserve">
              <w:r>
                <w:t xml:space="preserve"> Cf. Xenophon, Plato, Theophrastus, Plutarch, others. See Thayer’s lexicon and Liddell and Scott.</w:t>
              </w:r>
            </w:t>
          </w:r>
        </w:t>
      </w:r>
    </w:p>
  </w:footnote>
  <w:footnote w:id="29479">
    <w:p>
      <w:pPr>
        <w:pStyle w:val="FootnoteText"/>
      </w:pPr>
      <w:r>
        <w:rPr>
          <w:rStyle w:val="FootnoteReference"/>
        </w:rPr>
        <w:footnoteRef/>
      </w:r>
      <w:r>
        <w:t xml:space="preserve">
          <w:r>
            <w:t xml:space="preserve">
              <w:r>
                <w:t xml:space="preserve"> Cf. Liddell and Scott; Vine.</w:t>
              </w:r>
            </w:t>
          </w:r>
        </w:t>
      </w:r>
    </w:p>
  </w:footnote>
  <w:footnote w:id="26571">
    <w:p>
      <w:pPr>
        <w:pStyle w:val="FootnoteText"/>
      </w:pPr>
      <w:r>
        <w:rPr>
          <w:rStyle w:val="FootnoteReference"/>
        </w:rPr>
        <w:footnoteRef/>
      </w:r>
      <w:r>
        <w:t xml:space="preserve">
          <w:r>
            <w:t xml:space="preserve">
              <w:r>
                <w:t xml:space="preserve"> Cf. Liddell and Scott.</w:t>
              </w:r>
            </w:t>
          </w:r>
        </w:t>
      </w:r>
    </w:p>
  </w:footnote>
  <w:footnote w:id="18752">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646.</w:t>
              </w:r>
            </w:t>
          </w:r>
        </w:t>
      </w:r>
    </w:p>
  </w:footnote>
  <w:footnote w:id="27983">
    <w:p>
      <w:pPr>
        <w:pStyle w:val="FootnoteText"/>
      </w:pPr>
      <w:r>
        <w:rPr>
          <w:rStyle w:val="FootnoteReference"/>
        </w:rPr>
        <w:footnoteRef/>
      </w:r>
      <w:r>
        <w:t xml:space="preserve">
          <w:r>
            <w:t xml:space="preserve">
              <w:r>
                <w:t xml:space="preserve"> R. C. H. Lenski, </w:t>
              </w:r>
              <w:r>
                <w:rPr>
                  <w:i/>
                </w:rPr>
                <w:t xml:space="preserve">St. Matthew’s Gospel</w:t>
              </w:r>
              <w:r>
                <w:t xml:space="preserve">, 627.</w:t>
              </w:r>
            </w:t>
          </w:r>
        </w:t>
      </w:r>
    </w:p>
  </w:footnote>
  <w:footnote w:id="21392">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1:134-35.</w:t>
              </w:r>
            </w:t>
          </w:r>
        </w:t>
      </w:r>
    </w:p>
  </w:footnote>
  <w:footnote w:id="23035">
    <w:p>
      <w:pPr>
        <w:pStyle w:val="FootnoteText"/>
      </w:pPr>
      <w:r>
        <w:rPr>
          <w:rStyle w:val="FootnoteReference"/>
        </w:rPr>
        <w:footnoteRef/>
      </w:r>
      <w:r>
        <w:t xml:space="preserve">
          <w:r>
            <w:t xml:space="preserve">
              <w:r>
                <w:t xml:space="preserve"> Lenski, </w:t>
              </w:r>
              <w:r>
                <w:rPr>
                  <w:i/>
                </w:rPr>
                <w:t xml:space="preserve">Matthew</w:t>
              </w:r>
              <w:r>
                <w:t xml:space="preserve">, 640; cf. Thayer; BDAG.</w:t>
              </w:r>
            </w:t>
          </w:r>
        </w:t>
      </w:r>
    </w:p>
  </w:footnote>
  <w:footnote w:id="14531">
    <w:p>
      <w:pPr>
        <w:pStyle w:val="FootnoteText"/>
      </w:pPr>
      <w:r>
        <w:rPr>
          <w:rStyle w:val="FootnoteReference"/>
        </w:rPr>
        <w:footnoteRef/>
      </w:r>
      <w:r>
        <w:t xml:space="preserve">
          <w:r>
            <w:t xml:space="preserve">
              <w:r>
                <w:t xml:space="preserve"> Lenski, </w:t>
              </w:r>
              <w:r>
                <w:rPr>
                  <w:i/>
                </w:rPr>
                <w:t xml:space="preserve">Matthew</w:t>
              </w:r>
              <w:r>
                <w:t xml:space="preserve">, 673; cf. Kenneth S. Wuest, </w:t>
              </w:r>
              <w:r>
                <w:rPr>
                  <w:i/>
                </w:rPr>
                <w:t xml:space="preserve">New Testament</w:t>
              </w:r>
              <w:r>
                <w:t xml:space="preserve">, 43.</w:t>
              </w:r>
            </w:t>
          </w:r>
        </w:t>
      </w:r>
    </w:p>
  </w:footnote>
  <w:footnote w:id="27052">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23066">
    <w:p>
      <w:pPr>
        <w:pStyle w:val="FootnoteText"/>
      </w:pPr>
      <w:r>
        <w:rPr>
          <w:rStyle w:val="FootnoteReference"/>
        </w:rPr>
        <w:footnoteRef/>
      </w:r>
      <w:r>
        <w:t xml:space="preserve">
          <w:r>
            <w:t xml:space="preserve">
              <w:r>
                <w:t xml:space="preserve"> BDAG, 195.</w:t>
              </w:r>
            </w:t>
          </w:r>
        </w:t>
      </w:r>
    </w:p>
  </w:footnote>
  <w:footnote w:id="25753">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28818">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44.</w:t>
              </w:r>
            </w:t>
          </w:r>
        </w:t>
      </w:r>
    </w:p>
  </w:footnote>
  <w:footnote w:id="27545">
    <w:p>
      <w:pPr>
        <w:pStyle w:val="FootnoteText"/>
      </w:pPr>
      <w:r>
        <w:rPr>
          <w:rStyle w:val="FootnoteReference"/>
        </w:rPr>
        <w:footnoteRef/>
      </w:r>
      <w:r>
        <w:t xml:space="preserve">
          <w:r>
            <w:t xml:space="preserve">
              <w:r>
                <w:t xml:space="preserve"> Cf. Bullinger, </w:t>
              </w:r>
              <w:r>
                <w:rPr>
                  <w:i/>
                </w:rPr>
                <w:t xml:space="preserve">Figures of Speech</w:t>
              </w:r>
              <w:r>
                <w:t xml:space="preserve">, 682, “antonomasia.”</w:t>
              </w:r>
            </w:t>
          </w:r>
        </w:t>
      </w:r>
    </w:p>
  </w:footnote>
  <w:footnote w:id="24972">
    <w:p>
      <w:pPr>
        <w:pStyle w:val="FootnoteText"/>
      </w:pPr>
      <w:r>
        <w:rPr>
          <w:rStyle w:val="FootnoteReference"/>
        </w:rPr>
        <w:footnoteRef/>
      </w:r>
      <w:r>
        <w:t xml:space="preserve">
          <w:r>
            <w:t xml:space="preserve">
              <w:r>
                <w:t xml:space="preserve"> Cf. BDAG, s.v. “ἐπιτιμάω.”</w:t>
              </w:r>
            </w:t>
          </w:r>
        </w:t>
      </w:r>
    </w:p>
  </w:footnote>
  <w:footnote w:id="30988">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20270">
    <w:p>
      <w:pPr>
        <w:pStyle w:val="FootnoteText"/>
      </w:pPr>
      <w:r>
        <w:rPr>
          <w:rStyle w:val="FootnoteReference"/>
        </w:rPr>
        <w:footnoteRef/>
      </w:r>
      <w:r>
        <w:t xml:space="preserve">
          <w:r>
            <w:t xml:space="preserve">
              <w:r>
                <w:t xml:space="preserve"> Meyer, </w:t>
              </w:r>
              <w:r>
                <w:rPr>
                  <w:i/>
                </w:rPr>
                <w:t xml:space="preserve">Critical and Exegetical Commentary on the New Testament: Matthew</w:t>
              </w:r>
              <w:r>
                <w:t xml:space="preserve">, 315.</w:t>
              </w:r>
            </w:t>
          </w:r>
        </w:t>
      </w:r>
    </w:p>
  </w:footnote>
  <w:footnote w:id="23739">
    <w:p>
      <w:pPr>
        <w:pStyle w:val="FootnoteText"/>
      </w:pPr>
      <w:r>
        <w:rPr>
          <w:rStyle w:val="FootnoteReference"/>
        </w:rPr>
        <w:footnoteRef/>
      </w:r>
      <w:r>
        <w:t xml:space="preserve">
          <w:r>
            <w:t xml:space="preserve">
              <w:r>
                <w:t xml:space="preserve"> See Metzger, </w:t>
              </w:r>
              <w:r>
                <w:rPr>
                  <w:i/>
                </w:rPr>
                <w:t xml:space="preserve">Textual Commentary</w:t>
              </w:r>
              <w:r>
                <w:t xml:space="preserve">, 44-45.</w:t>
              </w:r>
            </w:t>
          </w:r>
        </w:t>
      </w:r>
    </w:p>
  </w:footnote>
  <w:footnote w:id="12757">
    <w:p>
      <w:pPr>
        <w:pStyle w:val="FootnoteText"/>
      </w:pPr>
      <w:r>
        <w:rPr>
          <w:rStyle w:val="FootnoteReference"/>
        </w:rPr>
        <w:footnoteRef/>
      </w:r>
      <w:r>
        <w:t xml:space="preserve">
          <w:r>
            <w:t xml:space="preserve">
              <w:r>
                <w:t xml:space="preserve"> Cf. </w:t>
              </w:r>
              <w:r>
                <w:rPr>
                  <w:i/>
                </w:rPr>
                <w:t xml:space="preserve">Myer’s Commentary</w:t>
              </w:r>
              <w:r>
                <w:t xml:space="preserve">, 332; Hendriksen, </w:t>
              </w:r>
              <w:r>
                <w:rPr>
                  <w:i/>
                </w:rPr>
                <w:t xml:space="preserve">New Testament Commentary: Matthew</w:t>
              </w:r>
              <w:r>
                <w:t xml:space="preserve">, 704.</w:t>
              </w:r>
            </w:t>
          </w:r>
        </w:t>
      </w:r>
    </w:p>
  </w:footnote>
  <w:footnote w:id="20890">
    <w:p>
      <w:pPr>
        <w:pStyle w:val="FootnoteText"/>
      </w:pPr>
      <w:r>
        <w:rPr>
          <w:rStyle w:val="FootnoteReference"/>
        </w:rPr>
        <w:footnoteRef/>
      </w:r>
      <w:r>
        <w:t xml:space="preserve">
          <w:r>
            <w:t xml:space="preserve">
              <w:r>
                <w:t xml:space="preserve"> J. B. Taylor, “Cornerstone,” </w:t>
              </w:r>
              <w:r>
                <w:rPr>
                  <w:i/>
                </w:rPr>
                <w:t xml:space="preserve">New Bible Dictionary</w:t>
              </w:r>
              <w:r>
                <w:t xml:space="preserve">, 228.</w:t>
              </w:r>
            </w:t>
          </w:r>
        </w:t>
      </w:r>
    </w:p>
  </w:footnote>
  <w:footnote w:id="24928">
    <w:p>
      <w:pPr>
        <w:pStyle w:val="FootnoteText"/>
      </w:pPr>
      <w:r>
        <w:rPr>
          <w:rStyle w:val="FootnoteReference"/>
        </w:rPr>
        <w:footnoteRef/>
      </w:r>
      <w:r>
        <w:t xml:space="preserve">
          <w:r>
            <w:t xml:space="preserve">
              <w:r>
                <w:t xml:space="preserve"> Taylor, </w:t>
              </w:r>
              <w:r>
                <w:rPr>
                  <w:i/>
                </w:rPr>
                <w:t xml:space="preserve">New Bible Dictionary</w:t>
              </w:r>
              <w:r>
                <w:t xml:space="preserve">, 228.</w:t>
              </w:r>
            </w:t>
          </w:r>
        </w:t>
      </w:r>
    </w:p>
  </w:footnote>
  <w:footnote w:id="27446">
    <w:p>
      <w:pPr>
        <w:pStyle w:val="FootnoteText"/>
      </w:pPr>
      <w:r>
        <w:rPr>
          <w:rStyle w:val="FootnoteReference"/>
        </w:rPr>
        <w:footnoteRef/>
      </w:r>
      <w:r>
        <w:t xml:space="preserve">
          <w:r>
            <w:t xml:space="preserve">
              <w:r>
                <w:t xml:space="preserve"> Cf. R. C. H. Lenski, </w:t>
              </w:r>
              <w:r>
                <w:rPr>
                  <w:i/>
                </w:rPr>
                <w:t xml:space="preserve">St. Matthew’s Gospel</w:t>
              </w:r>
              <w:r>
                <w:t xml:space="preserve">, 864.</w:t>
              </w:r>
            </w:t>
          </w:r>
        </w:t>
      </w:r>
    </w:p>
  </w:footnote>
  <w:footnote w:id="14725">
    <w:p>
      <w:pPr>
        <w:pStyle w:val="FootnoteText"/>
      </w:pPr>
      <w:r>
        <w:rPr>
          <w:rStyle w:val="FootnoteReference"/>
        </w:rPr>
        <w:footnoteRef/>
      </w:r>
      <w:r>
        <w:t xml:space="preserve">
          <w:r>
            <w:t xml:space="preserve">
              <w:r>
                <w:t xml:space="preserve"> BDAG, s.v. “ἑταῖρος.”</w:t>
              </w:r>
            </w:t>
          </w:r>
        </w:t>
      </w:r>
    </w:p>
  </w:footnote>
  <w:footnote w:id="18042">
    <w:p>
      <w:pPr>
        <w:pStyle w:val="FootnoteText"/>
      </w:pPr>
      <w:r>
        <w:rPr>
          <w:rStyle w:val="FootnoteReference"/>
        </w:rPr>
        <w:footnoteRef/>
      </w:r>
      <w:r>
        <w:t xml:space="preserve">
          <w:r>
            <w:t xml:space="preserve">
              <w:r>
                <w:t xml:space="preserve"> R. C. H. Lenski, </w:t>
              </w:r>
              <w:r>
                <w:rPr>
                  <w:i/>
                </w:rPr>
                <w:t xml:space="preserve">St. Matthew’s Gospel</w:t>
              </w:r>
              <w:r>
                <w:t xml:space="preserve">, 871.</w:t>
              </w:r>
            </w:t>
          </w:r>
        </w:t>
      </w:r>
    </w:p>
  </w:footnote>
  <w:footnote w:id="28758">
    <w:p>
      <w:pPr>
        <w:pStyle w:val="FootnoteText"/>
      </w:pPr>
      <w:r>
        <w:rPr>
          <w:rStyle w:val="FootnoteReference"/>
        </w:rPr>
        <w:footnoteRef/>
      </w:r>
      <w:r>
        <w:t xml:space="preserve">
          <w:r>
            <w:t xml:space="preserve">
              <w:r>
                <w:t xml:space="preserve"> </w:t>
              </w:r>
              <w:r>
                <w:rPr>
                  <w:i/>
                </w:rPr>
                <w:t xml:space="preserve">Barnes’ Notes</w:t>
              </w:r>
              <w:r>
                <w:t xml:space="preserve"> on Matt. 22:29.</w:t>
              </w:r>
            </w:t>
          </w:r>
        </w:t>
      </w:r>
    </w:p>
  </w:footnote>
  <w:footnote w:id="29814">
    <w:p>
      <w:pPr>
        <w:pStyle w:val="FootnoteText"/>
      </w:pPr>
      <w:r>
        <w:rPr>
          <w:rStyle w:val="FootnoteReference"/>
        </w:rPr>
        <w:footnoteRef/>
      </w:r>
      <w:r>
        <w:t xml:space="preserve">
          <w:r>
            <w:t xml:space="preserve">
              <w:r>
                <w:t xml:space="preserve"> N.T. Wright, </w:t>
              </w:r>
              <w:r>
                <w:rPr>
                  <w:i/>
                </w:rPr>
                <w:t xml:space="preserve">Mark for Everyone</w:t>
              </w:r>
              <w:r>
                <w:t xml:space="preserve">, 167-69.</w:t>
              </w:r>
            </w:t>
          </w:r>
        </w:t>
      </w:r>
    </w:p>
  </w:footnote>
  <w:footnote w:id="20015">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2699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1460">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49-50.</w:t>
              </w:r>
            </w:t>
          </w:r>
        </w:t>
      </w:r>
    </w:p>
  </w:footnote>
  <w:footnote w:id="13305">
    <w:p>
      <w:pPr>
        <w:pStyle w:val="FootnoteText"/>
      </w:pPr>
      <w:r>
        <w:rPr>
          <w:rStyle w:val="FootnoteReference"/>
        </w:rPr>
        <w:footnoteRef/>
      </w:r>
      <w:r>
        <w:t xml:space="preserve">
          <w:r>
            <w:t xml:space="preserve">
              <w:r>
                <w:t xml:space="preserve"> Aaron Pick, </w:t>
              </w:r>
              <w:r>
                <w:rPr>
                  <w:i/>
                </w:rPr>
                <w:t xml:space="preserve">Dictionary of Old Testament Words</w:t>
              </w:r>
              <w:r>
                <w:t xml:space="preserve">, s.v. “Lord, my,” 247.</w:t>
              </w:r>
            </w:t>
          </w:r>
        </w:t>
      </w:r>
    </w:p>
  </w:footnote>
  <w:footnote w:id="22377">
    <w:p>
      <w:pPr>
        <w:pStyle w:val="FootnoteText"/>
      </w:pPr>
      <w:r>
        <w:rPr>
          <w:rStyle w:val="FootnoteReference"/>
        </w:rPr>
        <w:footnoteRef/>
      </w:r>
      <w:r>
        <w:t xml:space="preserve">
          <w:r>
            <w:t xml:space="preserve">
              <w:r>
                <w:t xml:space="preserve"> Wikipedia, “Tefillin,” accessed August 1, 2016, https://en.wikipedia.org/wiki/Tefillin.</w:t>
              </w:r>
            </w:t>
          </w:r>
        </w:t>
      </w:r>
    </w:p>
  </w:footnote>
  <w:footnote w:id="27466">
    <w:p>
      <w:pPr>
        <w:pStyle w:val="FootnoteText"/>
      </w:pPr>
      <w:r>
        <w:rPr>
          <w:rStyle w:val="FootnoteReference"/>
        </w:rPr>
        <w:footnoteRef/>
      </w:r>
      <w:r>
        <w:t xml:space="preserve">
          <w:r>
            <w:t xml:space="preserve">
              <w:r>
                <w:t xml:space="preserve"> Wikipedia, “Tefillin,” accessed Aug. 1, 2016.</w:t>
              </w:r>
            </w:t>
          </w:r>
        </w:t>
      </w:r>
    </w:p>
  </w:footnote>
  <w:footnote w:id="28370">
    <w:p>
      <w:pPr>
        <w:pStyle w:val="FootnoteText"/>
      </w:pPr>
      <w:r>
        <w:rPr>
          <w:rStyle w:val="FootnoteReference"/>
        </w:rPr>
        <w:footnoteRef/>
      </w:r>
      <w:r>
        <w:t xml:space="preserve">
          <w:r>
            <w:t xml:space="preserve">
              <w:r>
                <w:t xml:space="preserve"> R. L. Harris, </w:t>
              </w:r>
              <w:r>
                <w:rPr>
                  <w:i/>
                </w:rPr>
                <w:t xml:space="preserve">Inspiration and Canonicity of the Bible</w:t>
              </w:r>
              <w:r>
                <w:t xml:space="preserve">, 49-50.</w:t>
              </w:r>
            </w:t>
          </w:r>
        </w:t>
      </w:r>
    </w:p>
  </w:footnote>
  <w:footnote w:id="21772">
    <w:p>
      <w:pPr>
        <w:pStyle w:val="FootnoteText"/>
      </w:pPr>
      <w:r>
        <w:rPr>
          <w:rStyle w:val="FootnoteReference"/>
        </w:rPr>
        <w:footnoteRef/>
      </w:r>
      <w:r>
        <w:t xml:space="preserve">
          <w:r>
            <w:t xml:space="preserve">
              <w:r>
                <w:t xml:space="preserve"> Robert H. Mounce,</w:t>
              </w:r>
              <w:r>
                <w:rPr>
                  <w:i/>
                </w:rPr>
                <w:t xml:space="preserve"> Matthew</w:t>
              </w:r>
              <w:r>
                <w:t xml:space="preserve"> [NIBCNT], 218-19.</w:t>
              </w:r>
            </w:t>
          </w:r>
        </w:t>
      </w:r>
    </w:p>
  </w:footnote>
  <w:footnote w:id="32624">
    <w:p>
      <w:pPr>
        <w:pStyle w:val="FootnoteText"/>
      </w:pPr>
      <w:r>
        <w:rPr>
          <w:rStyle w:val="FootnoteReference"/>
        </w:rPr>
        <w:footnoteRef/>
      </w:r>
      <w:r>
        <w:t xml:space="preserve">
          <w:r>
            <w:t xml:space="preserve">
              <w:r>
                <w:t xml:space="preserve"> BDAG, s.v. “παρουσία.”</w:t>
              </w:r>
            </w:t>
          </w:r>
        </w:t>
      </w:r>
    </w:p>
  </w:footnote>
  <w:footnote w:id="21120">
    <w:p>
      <w:pPr>
        <w:pStyle w:val="FootnoteText"/>
      </w:pPr>
      <w:r>
        <w:rPr>
          <w:rStyle w:val="FootnoteReference"/>
        </w:rPr>
        <w:footnoteRef/>
      </w:r>
      <w:r>
        <w:t xml:space="preserve">
          <w:r>
            <w:t xml:space="preserve">
              <w:r>
                <w:t xml:space="preserve"> Robert H. Mounce, </w:t>
              </w:r>
              <w:r>
                <w:rPr>
                  <w:i/>
                </w:rPr>
                <w:t xml:space="preserve">Matthew</w:t>
              </w:r>
              <w:r>
                <w:t xml:space="preserve"> [NIBCNT], 222.</w:t>
              </w:r>
            </w:t>
          </w:r>
        </w:t>
      </w:r>
    </w:p>
  </w:footnote>
  <w:footnote w:id="19642">
    <w:p>
      <w:pPr>
        <w:pStyle w:val="FootnoteText"/>
      </w:pPr>
      <w:r>
        <w:rPr>
          <w:rStyle w:val="FootnoteReference"/>
        </w:rPr>
        <w:footnoteRef/>
      </w:r>
      <w:r>
        <w:t xml:space="preserve">
          <w:r>
            <w:t xml:space="preserve">
              <w:r>
                <w:t xml:space="preserve"> Nyland, </w:t>
              </w:r>
              <w:r>
                <w:rPr>
                  <w:i/>
                </w:rPr>
                <w:t xml:space="preserve">The Source New Testament</w:t>
              </w:r>
              <w:r>
                <w:t xml:space="preserve">, 59n4.</w:t>
              </w:r>
            </w:t>
          </w:r>
        </w:t>
      </w:r>
    </w:p>
  </w:footnote>
  <w:footnote w:id="15850">
    <w:p>
      <w:pPr>
        <w:pStyle w:val="FootnoteText"/>
      </w:pPr>
      <w:r>
        <w:rPr>
          <w:rStyle w:val="FootnoteReference"/>
        </w:rPr>
        <w:footnoteRef/>
      </w:r>
      <w:r>
        <w:t xml:space="preserve">
          <w:r>
            <w:t xml:space="preserve">
              <w:r>
                <w:t xml:space="preserve"> Hahn, </w:t>
              </w:r>
              <w:r>
                <w:rPr>
                  <w:i/>
                </w:rPr>
                <w:t xml:space="preserve">Matthew: A commentary for Bible Students</w:t>
              </w:r>
              <w:r>
                <w:t xml:space="preserve">.</w:t>
              </w:r>
            </w:t>
          </w:r>
        </w:t>
      </w:r>
    </w:p>
  </w:footnote>
  <w:footnote w:id="31067">
    <w:p>
      <w:pPr>
        <w:pStyle w:val="FootnoteText"/>
      </w:pPr>
      <w:r>
        <w:rPr>
          <w:rStyle w:val="FootnoteReference"/>
        </w:rPr>
        <w:footnoteRef/>
      </w:r>
      <w:r>
        <w:t xml:space="preserve">
          <w:r>
            <w:t xml:space="preserve">
              <w:r>
                <w:t xml:space="preserve"> Allen, </w:t>
              </w:r>
              <w:r>
                <w:rPr>
                  <w:i/>
                </w:rPr>
                <w:t xml:space="preserve">Matthew</w:t>
              </w:r>
              <w:r>
                <w:t xml:space="preserve"> [ICC], 254.</w:t>
              </w:r>
            </w:t>
          </w:r>
        </w:t>
      </w:r>
    </w:p>
  </w:footnote>
  <w:footnote w:id="32698">
    <w:p>
      <w:pPr>
        <w:pStyle w:val="FootnoteText"/>
      </w:pPr>
      <w:r>
        <w:rPr>
          <w:rStyle w:val="FootnoteReference"/>
        </w:rPr>
        <w:footnoteRef/>
      </w:r>
      <w:r>
        <w:t xml:space="preserve">
          <w:r>
            <w:t xml:space="preserve">
              <w:r>
                <w:t xml:space="preserve"> Cf. Nyland, </w:t>
              </w:r>
              <w:r>
                <w:rPr>
                  <w:i/>
                </w:rPr>
                <w:t xml:space="preserve">The Source New Testament</w:t>
              </w:r>
              <w:r>
                <w:t xml:space="preserve">, 60.</w:t>
              </w:r>
            </w:t>
          </w:r>
        </w:t>
      </w:r>
    </w:p>
  </w:footnote>
  <w:footnote w:id="12696">
    <w:p>
      <w:pPr>
        <w:pStyle w:val="FootnoteText"/>
      </w:pPr>
      <w:r>
        <w:rPr>
          <w:rStyle w:val="FootnoteReference"/>
        </w:rPr>
        <w:footnoteRef/>
      </w:r>
      <w:r>
        <w:t xml:space="preserve">
          <w:r>
            <w:t xml:space="preserve">
              <w:r>
                <w:t xml:space="preserve"> Osborne, </w:t>
              </w:r>
              <w:r>
                <w:rPr>
                  <w:i/>
                </w:rPr>
                <w:t xml:space="preserve">Matthew</w:t>
              </w:r>
              <w:r>
                <w:t xml:space="preserve"> [ZECNT], 873.</w:t>
              </w:r>
            </w:t>
          </w:r>
        </w:t>
      </w:r>
    </w:p>
  </w:footnote>
  <w:footnote w:id="16556">
    <w:p>
      <w:pPr>
        <w:pStyle w:val="FootnoteText"/>
      </w:pPr>
      <w:r>
        <w:rPr>
          <w:rStyle w:val="FootnoteReference"/>
        </w:rPr>
        <w:footnoteRef/>
      </w:r>
      <w:r>
        <w:t xml:space="preserve">
          <w:r>
            <w:t xml:space="preserve">
              <w:r>
                <w:t xml:space="preserve"> France, </w:t>
              </w:r>
              <w:r>
                <w:rPr>
                  <w:i/>
                </w:rPr>
                <w:t xml:space="preserve">The Gospel of Matthew</w:t>
              </w:r>
              <w:r>
                <w:t xml:space="preserve"> [NICNT], 902.</w:t>
              </w:r>
            </w:t>
          </w:r>
        </w:t>
      </w:r>
    </w:p>
  </w:footnote>
  <w:footnote w:id="29239">
    <w:p>
      <w:pPr>
        <w:pStyle w:val="FootnoteText"/>
      </w:pPr>
      <w:r>
        <w:rPr>
          <w:rStyle w:val="FootnoteReference"/>
        </w:rPr>
        <w:footnoteRef/>
      </w:r>
      <w:r>
        <w:t xml:space="preserve">
          <w:r>
            <w:t xml:space="preserve">
              <w:r>
                <w:t xml:space="preserve"> Newman and Stein, </w:t>
              </w:r>
              <w:r>
                <w:rPr>
                  <w:i/>
                </w:rPr>
                <w:t xml:space="preserve">A Translator’s Handbook on the Gospel of Matthew</w:t>
              </w:r>
              <w:r>
                <w:t xml:space="preserve">, 734.</w:t>
              </w:r>
            </w:t>
          </w:r>
        </w:t>
      </w:r>
    </w:p>
  </w:footnote>
  <w:footnote w:id="17464">
    <w:p>
      <w:pPr>
        <w:pStyle w:val="FootnoteText"/>
      </w:pPr>
      <w:r>
        <w:rPr>
          <w:rStyle w:val="FootnoteReference"/>
        </w:rPr>
        <w:footnoteRef/>
      </w:r>
      <w:r>
        <w:t xml:space="preserve">
          <w:r>
            <w:t xml:space="preserve">
              <w:r>
                <w:t xml:space="preserve"> Meyer, </w:t>
              </w:r>
              <w:r>
                <w:rPr>
                  <w:i/>
                </w:rPr>
                <w:t xml:space="preserve">Critical and Exegetical Handbook to the Gospel of Matthew</w:t>
              </w:r>
              <w:r>
                <w:t xml:space="preserve">, 408.</w:t>
              </w:r>
            </w:t>
          </w:r>
        </w:t>
      </w:r>
    </w:p>
  </w:footnote>
  <w:footnote w:id="17712">
    <w:p>
      <w:pPr>
        <w:pStyle w:val="FootnoteText"/>
      </w:pPr>
      <w:r>
        <w:rPr>
          <w:rStyle w:val="FootnoteReference"/>
        </w:rPr>
        <w:footnoteRef/>
      </w:r>
      <w:r>
        <w:t xml:space="preserve">
          <w:r>
            <w:t xml:space="preserve">
              <w:r>
                <w:t xml:space="preserve"> See also, John Bengel,</w:t>
              </w:r>
              <w:r>
                <w:rPr>
                  <w:i/>
                </w:rPr>
                <w:t xml:space="preserve"> Bengel’s New Testament Commentary: Matthew and Mark</w:t>
              </w:r>
              <w:r>
                <w:t xml:space="preserve">, 418; Donald Hagner, </w:t>
              </w:r>
              <w:r>
                <w:rPr>
                  <w:i/>
                </w:rPr>
                <w:t xml:space="preserve">Matthew 14-28</w:t>
              </w:r>
              <w:r>
                <w:t xml:space="preserve"> [WBC].</w:t>
              </w:r>
            </w:t>
          </w:r>
        </w:t>
      </w:r>
    </w:p>
  </w:footnote>
  <w:footnote w:id="21151">
    <w:p>
      <w:pPr>
        <w:pStyle w:val="FootnoteText"/>
      </w:pPr>
      <w:r>
        <w:rPr>
          <w:rStyle w:val="FootnoteReference"/>
        </w:rPr>
        <w:footnoteRef/>
      </w:r>
      <w:r>
        <w:t xml:space="preserve">
          <w:r>
            <w:t xml:space="preserve">
              <w:r>
                <w:t xml:space="preserve"> R. C. H. Lenski, </w:t>
              </w:r>
              <w:r>
                <w:rPr>
                  <w:i/>
                </w:rPr>
                <w:t xml:space="preserve">St. Matthew’s Gospel</w:t>
              </w:r>
              <w:r>
                <w:t xml:space="preserve">, 931.</w:t>
              </w:r>
            </w:t>
          </w:r>
        </w:t>
      </w:r>
    </w:p>
  </w:footnote>
  <w:footnote w:id="10623">
    <w:p>
      <w:pPr>
        <w:pStyle w:val="FootnoteText"/>
      </w:pPr>
      <w:r>
        <w:rPr>
          <w:rStyle w:val="FootnoteReference"/>
        </w:rPr>
        <w:footnoteRef/>
      </w:r>
      <w:r>
        <w:t xml:space="preserve">
          <w:r>
            <w:t xml:space="preserve">
              <w:r>
                <w:t xml:space="preserve"> BDAG, s.v. “θλῖψις.”</w:t>
              </w:r>
            </w:t>
          </w:r>
        </w:t>
      </w:r>
    </w:p>
  </w:footnote>
  <w:footnote w:id="27411">
    <w:p>
      <w:pPr>
        <w:pStyle w:val="FootnoteText"/>
      </w:pPr>
      <w:r>
        <w:rPr>
          <w:rStyle w:val="FootnoteReference"/>
        </w:rPr>
        <w:footnoteRef/>
      </w:r>
      <w:r>
        <w:t xml:space="preserve">
          <w:r>
            <w:t xml:space="preserve">
              <w:r>
                <w:t xml:space="preserve"> Also see Kittle, </w:t>
              </w:r>
              <w:r>
                <w:rPr>
                  <w:i/>
                </w:rPr>
                <w:t xml:space="preserve">TDNT</w:t>
              </w:r>
              <w:r>
                <w:t xml:space="preserve">, s.v. “τόπος”; Ernest Martin, </w:t>
              </w:r>
              <w:r>
                <w:rPr>
                  <w:i/>
                </w:rPr>
                <w:t xml:space="preserve">Secrets of Golgotha</w:t>
              </w:r>
              <w:r>
                <w:t xml:space="preserve">, chap. 8.</w:t>
              </w:r>
            </w:t>
          </w:r>
        </w:t>
      </w:r>
    </w:p>
  </w:footnote>
  <w:footnote w:id="25813">
    <w:p>
      <w:pPr>
        <w:pStyle w:val="FootnoteText"/>
      </w:pPr>
      <w:r>
        <w:rPr>
          <w:rStyle w:val="FootnoteReference"/>
        </w:rPr>
        <w:footnoteRef/>
      </w:r>
      <w:r>
        <w:t xml:space="preserve">
          <w:r>
            <w:t xml:space="preserve">
              <w:r>
                <w:t xml:space="preserve"> F. F. Bruce, </w:t>
              </w:r>
              <w:r>
                <w:rPr>
                  <w:i/>
                </w:rPr>
                <w:t xml:space="preserve">The Hard Sayings of Jesus</w:t>
              </w:r>
              <w:r>
                <w:t xml:space="preserve">, 226-27.</w:t>
              </w:r>
            </w:t>
          </w:r>
        </w:t>
      </w:r>
    </w:p>
  </w:footnote>
  <w:footnote w:id="10242">
    <w:p>
      <w:pPr>
        <w:pStyle w:val="FootnoteText"/>
      </w:pPr>
      <w:r>
        <w:rPr>
          <w:rStyle w:val="FootnoteReference"/>
        </w:rPr>
        <w:footnoteRef/>
      </w:r>
      <w:r>
        <w:t xml:space="preserve">
          <w:r>
            <w:t xml:space="preserve">
              <w:r>
                <w:t xml:space="preserve"> Omanson, </w:t>
              </w:r>
              <w:r>
                <w:rPr>
                  <w:i/>
                </w:rPr>
                <w:t xml:space="preserve">A Textual Guide to the Greek New Testament</w:t>
              </w:r>
              <w:r>
                <w:t xml:space="preserve">, 44.</w:t>
              </w:r>
            </w:t>
          </w:r>
        </w:t>
      </w:r>
    </w:p>
  </w:footnote>
  <w:footnote w:id="20532">
    <w:p>
      <w:pPr>
        <w:pStyle w:val="FootnoteText"/>
      </w:pPr>
      <w:r>
        <w:rPr>
          <w:rStyle w:val="FootnoteReference"/>
        </w:rPr>
        <w:footnoteRef/>
      </w:r>
      <w:r>
        <w:t xml:space="preserve">
          <w:r>
            <w:t xml:space="preserve">
              <w:r>
                <w:t xml:space="preserve"> Olson, </w:t>
              </w:r>
              <w:r>
                <w:rPr>
                  <w:i/>
                </w:rPr>
                <w:t xml:space="preserve">Against Calvinism</w:t>
              </w:r>
              <w:r>
                <w:t xml:space="preserve">, 105.</w:t>
              </w:r>
            </w:t>
          </w:r>
        </w:t>
      </w:r>
    </w:p>
  </w:footnote>
  <w:footnote w:id="13305">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entry on </w:t>
              </w:r>
              <w:r>
                <w:rPr>
                  <w:i/>
                </w:rPr>
                <w:t xml:space="preserve">paralambano</w:t>
              </w:r>
              <w:r>
                <w:t xml:space="preserve">, 1108.</w:t>
              </w:r>
            </w:t>
          </w:r>
        </w:t>
      </w:r>
    </w:p>
  </w:footnote>
  <w:footnote w:id="31249">
    <w:p>
      <w:pPr>
        <w:pStyle w:val="FootnoteText"/>
      </w:pPr>
      <w:r>
        <w:rPr>
          <w:rStyle w:val="FootnoteReference"/>
        </w:rPr>
        <w:footnoteRef/>
      </w:r>
      <w:r>
        <w:t xml:space="preserve">
          <w:r>
            <w:t xml:space="preserve">
              <w:r>
                <w:t xml:space="preserve"> Robert H. Mounce, </w:t>
              </w:r>
              <w:r>
                <w:rPr>
                  <w:i/>
                </w:rPr>
                <w:t xml:space="preserve">Matthew</w:t>
              </w:r>
              <w:r>
                <w:t xml:space="preserve"> [NIBCNT], 229.</w:t>
              </w:r>
            </w:t>
          </w:r>
        </w:t>
      </w:r>
    </w:p>
  </w:footnote>
  <w:footnote w:id="28770">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31690">
    <w:p>
      <w:pPr>
        <w:pStyle w:val="FootnoteText"/>
      </w:pPr>
      <w:r>
        <w:rPr>
          <w:rStyle w:val="FootnoteReference"/>
        </w:rPr>
        <w:footnoteRef/>
      </w:r>
      <w:r>
        <w:t xml:space="preserve">
          <w:r>
            <w:t xml:space="preserve">
              <w:r>
                <w:t xml:space="preserve"> Robert Clouse, </w:t>
              </w:r>
              <w:r>
                <w:rPr>
                  <w:i/>
                </w:rPr>
                <w:t xml:space="preserve">The Meaning of the Millennium</w:t>
              </w:r>
              <w:r>
                <w:t xml:space="preserve">, 155-87.</w:t>
              </w:r>
            </w:t>
          </w:r>
        </w:t>
      </w:r>
    </w:p>
  </w:footnote>
  <w:footnote w:id="1802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0340">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3536">
    <w:p>
      <w:pPr>
        <w:pStyle w:val="FootnoteText"/>
      </w:pPr>
      <w:r>
        <w:rPr>
          <w:rStyle w:val="FootnoteReference"/>
        </w:rPr>
        <w:footnoteRef/>
      </w:r>
      <w:r>
        <w:t xml:space="preserve">
          <w:r>
            <w:t xml:space="preserve">
              <w:r>
                <w:t xml:space="preserve"> R. C. H. Lenski, </w:t>
              </w:r>
              <w:r>
                <w:rPr>
                  <w:i/>
                </w:rPr>
                <w:t xml:space="preserve">The Interpretation of St. Mark’s Gospel</w:t>
              </w:r>
              <w:r>
                <w:t xml:space="preserve">, note on Mark 14:12, 609.</w:t>
              </w:r>
            </w:t>
          </w:r>
        </w:t>
      </w:r>
    </w:p>
  </w:footnote>
  <w:footnote w:id="31151">
    <w:p>
      <w:pPr>
        <w:pStyle w:val="FootnoteText"/>
      </w:pPr>
      <w:r>
        <w:rPr>
          <w:rStyle w:val="FootnoteReference"/>
        </w:rPr>
        <w:footnoteRef/>
      </w:r>
      <w:r>
        <w:t xml:space="preserve">
          <w:r>
            <w:t xml:space="preserve">
              <w:r>
                <w:t xml:space="preserve"> Lenski, </w:t>
              </w:r>
              <w:r>
                <w:rPr>
                  <w:i/>
                </w:rPr>
                <w:t xml:space="preserve">Interpretation of St. Mark’s Gospel</w:t>
              </w:r>
              <w:r>
                <w:t xml:space="preserve">, note on Mark 14:25, 628.</w:t>
              </w:r>
            </w:t>
          </w:r>
        </w:t>
      </w:r>
    </w:p>
  </w:footnote>
  <w:footnote w:id="18970">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12176">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2476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1:220.</w:t>
              </w:r>
            </w:t>
          </w:r>
        </w:t>
      </w:r>
    </w:p>
  </w:footnote>
  <w:footnote w:id="18045">
    <w:p>
      <w:pPr>
        <w:pStyle w:val="FootnoteText"/>
      </w:pPr>
      <w:r>
        <w:rPr>
          <w:rStyle w:val="FootnoteReference"/>
        </w:rPr>
        <w:footnoteRef/>
      </w:r>
      <w:r>
        <w:t xml:space="preserve">
          <w:r>
            <w:t xml:space="preserve">
              <w:r>
                <w:t xml:space="preserve"> Paul Maier, </w:t>
              </w:r>
              <w:r>
                <w:rPr>
                  <w:i/>
                </w:rPr>
                <w:t xml:space="preserve">First Easter</w:t>
              </w:r>
              <w:r>
                <w:t xml:space="preserve">, 53.</w:t>
              </w:r>
            </w:t>
          </w:r>
        </w:t>
      </w:r>
    </w:p>
  </w:footnote>
  <w:footnote w:id="18378">
    <w:p>
      <w:pPr>
        <w:pStyle w:val="FootnoteText"/>
      </w:pPr>
      <w:r>
        <w:rPr>
          <w:rStyle w:val="FootnoteReference"/>
        </w:rPr>
        <w:footnoteRef/>
      </w:r>
      <w:r>
        <w:t xml:space="preserve">
          <w:r>
            <w:t xml:space="preserve">
              <w:r>
                <w:t xml:space="preserve"> R. Gundry, </w:t>
              </w:r>
              <w:r>
                <w:rPr>
                  <w:i/>
                </w:rPr>
                <w:t xml:space="preserve">Matthew: A Commentary on His Literary and Theological Art</w:t>
              </w:r>
              <w:r>
                <w:t xml:space="preserve">, 555.</w:t>
              </w:r>
            </w:t>
          </w:r>
        </w:t>
      </w:r>
    </w:p>
  </w:footnote>
  <w:footnote w:id="25143">
    <w:p>
      <w:pPr>
        <w:pStyle w:val="FootnoteText"/>
      </w:pPr>
      <w:r>
        <w:rPr>
          <w:rStyle w:val="FootnoteReference"/>
        </w:rPr>
        <w:footnoteRef/>
      </w:r>
      <w:r>
        <w:t xml:space="preserve">
          <w:r>
            <w:t xml:space="preserve">
              <w:r>
                <w:t xml:space="preserve"> See Bullinger, </w:t>
              </w:r>
              <w:r>
                <w:rPr>
                  <w:i/>
                </w:rPr>
                <w:t xml:space="preserve">Companion Bible</w:t>
              </w:r>
              <w:r>
                <w:t xml:space="preserve">, note on Matt. 27:9, 1375.</w:t>
              </w:r>
            </w:t>
          </w:r>
        </w:t>
      </w:r>
    </w:p>
  </w:footnote>
  <w:footnote w:id="18850">
    <w:p>
      <w:pPr>
        <w:pStyle w:val="FootnoteText"/>
      </w:pPr>
      <w:r>
        <w:rPr>
          <w:rStyle w:val="FootnoteReference"/>
        </w:rPr>
        <w:footnoteRef/>
      </w:r>
      <w:r>
        <w:t xml:space="preserve">
          <w:r>
            <w:t xml:space="preserve">
              <w:r>
                <w:t xml:space="preserve"> See commentary in </w:t>
              </w:r>
              <w:r>
                <w:rPr>
                  <w:i/>
                </w:rPr>
                <w:t xml:space="preserve">The Ryrie Study Bible</w:t>
              </w:r>
              <w:r>
                <w:t xml:space="preserve">.</w:t>
              </w:r>
            </w:t>
          </w:r>
        </w:t>
      </w:r>
    </w:p>
  </w:footnote>
  <w:footnote w:id="32462">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1:225.</w:t>
              </w:r>
            </w:t>
          </w:r>
        </w:t>
      </w:r>
    </w:p>
  </w:footnote>
  <w:footnote w:id="11645">
    <w:p>
      <w:pPr>
        <w:pStyle w:val="FootnoteText"/>
      </w:pPr>
      <w:r>
        <w:rPr>
          <w:rStyle w:val="FootnoteReference"/>
        </w:rPr>
        <w:footnoteRef/>
      </w:r>
      <w:r>
        <w:t xml:space="preserve">
          <w:r>
            <w:t xml:space="preserve">
              <w:r>
                <w:t xml:space="preserve"> Nicoll,</w:t>
              </w:r>
              <w:r>
                <w:rPr>
                  <w:i/>
                </w:rPr>
                <w:t xml:space="preserve"> Expositor’s Greek Testament</w:t>
              </w:r>
              <w:r>
                <w:t xml:space="preserve">, 1:324.</w:t>
              </w:r>
            </w:t>
          </w:r>
        </w:t>
      </w:r>
    </w:p>
  </w:footnote>
  <w:footnote w:id="17227">
    <w:p>
      <w:pPr>
        <w:pStyle w:val="FootnoteText"/>
      </w:pPr>
      <w:r>
        <w:rPr>
          <w:rStyle w:val="FootnoteReference"/>
        </w:rPr>
        <w:footnoteRef/>
      </w:r>
      <w:r>
        <w:t xml:space="preserve">
          <w:r>
            <w:t xml:space="preserve">
              <w:r>
                <w:t xml:space="preserve"> Lenski,</w:t>
              </w:r>
              <w:r>
                <w:rPr>
                  <w:i/>
                </w:rPr>
                <w:t xml:space="preserve"> St. Matthew’s Gospel</w:t>
              </w:r>
              <w:r>
                <w:t xml:space="preserve">, 1085.</w:t>
              </w:r>
            </w:t>
          </w:r>
        </w:t>
      </w:r>
    </w:p>
  </w:footnote>
  <w:footnote w:id="13990">
    <w:p>
      <w:pPr>
        <w:pStyle w:val="FootnoteText"/>
      </w:pPr>
      <w:r>
        <w:rPr>
          <w:rStyle w:val="FootnoteReference"/>
        </w:rPr>
        <w:footnoteRef/>
      </w:r>
      <w:r>
        <w:t xml:space="preserve">
          <w:r>
            <w:t xml:space="preserve">
              <w:r>
                <w:t xml:space="preserve"> Barnes, </w:t>
              </w:r>
              <w:r>
                <w:rPr>
                  <w:i/>
                </w:rPr>
                <w:t xml:space="preserve">Barnes’ Notes</w:t>
              </w:r>
              <w:r>
                <w:t xml:space="preserve">.</w:t>
              </w:r>
            </w:t>
          </w:r>
        </w:t>
      </w:r>
    </w:p>
  </w:footnote>
  <w:footnote w:id="18055">
    <w:p>
      <w:pPr>
        <w:pStyle w:val="FootnoteText"/>
      </w:pPr>
      <w:r>
        <w:rPr>
          <w:rStyle w:val="FootnoteReference"/>
        </w:rPr>
        <w:footnoteRef/>
      </w:r>
      <w:r>
        <w:t xml:space="preserve">
          <w:r>
            <w:t xml:space="preserve">
              <w:r>
                <w:t xml:space="preserve"> Robertson, </w:t>
              </w:r>
              <w:r>
                <w:rPr>
                  <w:i/>
                </w:rPr>
                <w:t xml:space="preserve">Word Pictures</w:t>
              </w:r>
              <w:r>
                <w:t xml:space="preserve">, 218, 388.</w:t>
              </w:r>
            </w:t>
          </w:r>
        </w:t>
      </w:r>
    </w:p>
  </w:footnote>
  <w:footnote w:id="32535">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1133-34.</w:t>
              </w:r>
            </w:t>
          </w:r>
        </w:t>
      </w:r>
    </w:p>
  </w:footnote>
  <w:footnote w:id="25779">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26033">
    <w:p>
      <w:pPr>
        <w:pStyle w:val="FootnoteText"/>
      </w:pPr>
      <w:r>
        <w:rPr>
          <w:rStyle w:val="FootnoteReference"/>
        </w:rPr>
        <w:footnoteRef/>
      </w:r>
      <w:r>
        <w:t xml:space="preserve">
          <w:r>
            <w:t xml:space="preserve">
              <w:r>
                <w:t xml:space="preserve"> Jerome Murphy-O’Connor, </w:t>
              </w:r>
              <w:r>
                <w:rPr>
                  <w:i/>
                </w:rPr>
                <w:t xml:space="preserve">The Holy Land: An Oxford Archaeological Guide from Earliest Times to 1700</w:t>
              </w:r>
              <w:r>
                <w:t xml:space="preserve">, 121.</w:t>
              </w:r>
            </w:t>
          </w:r>
        </w:t>
      </w:r>
    </w:p>
  </w:footnote>
  <w:footnote w:id="30335">
    <w:p>
      <w:pPr>
        <w:pStyle w:val="FootnoteText"/>
      </w:pPr>
      <w:r>
        <w:rPr>
          <w:rStyle w:val="FootnoteReference"/>
        </w:rPr>
        <w:footnoteRef/>
      </w:r>
      <w:r>
        <w:t xml:space="preserve">
          <w:r>
            <w:t xml:space="preserve">
              <w:r>
                <w:t xml:space="preserve"> Jerome Murphy-O’Connor, </w:t>
              </w:r>
              <w:r>
                <w:rPr>
                  <w:i/>
                </w:rPr>
                <w:t xml:space="preserve">Oxford Archaeological Guide to the Holy Land</w:t>
              </w:r>
              <w:r>
                <w:t xml:space="preserve">, 139.</w:t>
              </w:r>
            </w:t>
          </w:r>
        </w:t>
      </w:r>
    </w:p>
  </w:footnote>
  <w:footnote w:id="18712">
    <w:p>
      <w:pPr>
        <w:pStyle w:val="FootnoteText"/>
      </w:pPr>
      <w:r>
        <w:rPr>
          <w:rStyle w:val="FootnoteReference"/>
        </w:rPr>
        <w:footnoteRef/>
      </w:r>
      <w:r>
        <w:t xml:space="preserve">
          <w:r>
            <w:t xml:space="preserve">
              <w:r>
                <w:t xml:space="preserve"> Gerhard Kittel, ed., Geoffrey Bromiley, trans., </w:t>
              </w:r>
              <w:r>
                <w:rPr>
                  <w:i/>
                </w:rPr>
                <w:t xml:space="preserve">Theological Dictionary of the New Testament</w:t>
              </w:r>
              <w:r>
                <w:t xml:space="preserve">, 197.</w:t>
              </w:r>
            </w:t>
          </w:r>
        </w:t>
      </w:r>
    </w:p>
  </w:footnote>
  <w:footnote w:id="27184">
    <w:p>
      <w:pPr>
        <w:pStyle w:val="FootnoteText"/>
      </w:pPr>
      <w:r>
        <w:rPr>
          <w:rStyle w:val="FootnoteReference"/>
        </w:rPr>
        <w:footnoteRef/>
      </w:r>
      <w:r>
        <w:t xml:space="preserve">
          <w:r>
            <w:t xml:space="preserve">
              <w:r>
                <w:t xml:space="preserve"> Kittel, </w:t>
              </w:r>
              <w:r>
                <w:rPr>
                  <w:i/>
                </w:rPr>
                <w:t xml:space="preserve">TDNT</w:t>
              </w:r>
              <w:r>
                <w:t xml:space="preserve">, 198.</w:t>
              </w:r>
            </w:t>
          </w:r>
        </w:t>
      </w:r>
    </w:p>
  </w:footnote>
  <w:footnote w:id="16476">
    <w:p>
      <w:pPr>
        <w:pStyle w:val="FootnoteText"/>
      </w:pPr>
      <w:r>
        <w:rPr>
          <w:rStyle w:val="FootnoteReference"/>
        </w:rPr>
        <w:footnoteRef/>
      </w:r>
      <w:r>
        <w:t xml:space="preserve">
          <w:r>
            <w:t xml:space="preserve">
              <w:r>
                <w:t xml:space="preserve"> Kittel, </w:t>
              </w:r>
              <w:r>
                <w:rPr>
                  <w:i/>
                </w:rPr>
                <w:t xml:space="preserve">TDNT</w:t>
              </w:r>
              <w:r>
                <w:t xml:space="preserve">, 199.</w:t>
              </w:r>
            </w:t>
          </w:r>
        </w:t>
      </w:r>
    </w:p>
  </w:footnote>
  <w:footnote w:id="32240">
    <w:p>
      <w:pPr>
        <w:pStyle w:val="FootnoteText"/>
      </w:pPr>
      <w:r>
        <w:rPr>
          <w:rStyle w:val="FootnoteReference"/>
        </w:rPr>
        <w:footnoteRef/>
      </w:r>
      <w:r>
        <w:t xml:space="preserve">
          <w:r>
            <w:t xml:space="preserve">
              <w:r>
                <w:t xml:space="preserve"> Kittel, </w:t>
              </w:r>
              <w:r>
                <w:rPr>
                  <w:i/>
                </w:rPr>
                <w:t xml:space="preserve">TDNT</w:t>
              </w:r>
              <w:r>
                <w:t xml:space="preserve">, 204.</w:t>
              </w:r>
            </w:t>
          </w:r>
        </w:t>
      </w:r>
    </w:p>
  </w:footnote>
  <w:footnote w:id="22911">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20801">
    <w:p>
      <w:pPr>
        <w:pStyle w:val="FootnoteText"/>
      </w:pPr>
      <w:r>
        <w:rPr>
          <w:rStyle w:val="FootnoteReference"/>
        </w:rPr>
        <w:footnoteRef/>
      </w:r>
      <w:r>
        <w:t xml:space="preserve">
          <w:r>
            <w:t xml:space="preserve">
              <w:r>
                <w:t xml:space="preserve"> Ulrich Luz, Matthew 21-28, Hermeneia, 565-66.</w:t>
              </w:r>
            </w:t>
          </w:r>
        </w:t>
      </w:r>
    </w:p>
  </w:footnote>
  <w:footnote w:id="13723">
    <w:p>
      <w:pPr>
        <w:pStyle w:val="FootnoteText"/>
      </w:pPr>
      <w:r>
        <w:rPr>
          <w:rStyle w:val="FootnoteReference"/>
        </w:rPr>
        <w:footnoteRef/>
      </w:r>
      <w:r>
        <w:t xml:space="preserve">
          <w:r>
            <w:t xml:space="preserve">
              <w:r>
                <w:t xml:space="preserve"> Jerome, Epistle 120, his letter to the woman Hedibia, question #8.</w:t>
              </w:r>
            </w:t>
          </w:r>
        </w:t>
      </w:r>
    </w:p>
  </w:footnote>
  <w:footnote w:id="21657">
    <w:p>
      <w:pPr>
        <w:pStyle w:val="FootnoteText"/>
      </w:pPr>
      <w:r>
        <w:rPr>
          <w:rStyle w:val="FootnoteReference"/>
        </w:rPr>
        <w:footnoteRef/>
      </w:r>
      <w:r>
        <w:t xml:space="preserve">
          <w:r>
            <w:t xml:space="preserve">
              <w:r>
                <w:t xml:space="preserve"> Grant Osborne, </w:t>
              </w:r>
              <w:r>
                <w:rPr>
                  <w:i/>
                </w:rPr>
                <w:t xml:space="preserve">Exegetical Commentary on the New Testament: Matthew</w:t>
              </w:r>
              <w:r>
                <w:t xml:space="preserve">, 1043.</w:t>
              </w:r>
            </w:t>
          </w:r>
        </w:t>
      </w:r>
    </w:p>
  </w:footnote>
  <w:footnote w:id="18396">
    <w:p>
      <w:pPr>
        <w:pStyle w:val="FootnoteText"/>
      </w:pPr>
      <w:r>
        <w:rPr>
          <w:rStyle w:val="FootnoteReference"/>
        </w:rPr>
        <w:footnoteRef/>
      </w:r>
      <w:r>
        <w:t xml:space="preserve">
          <w:r>
            <w:t xml:space="preserve">
              <w:r>
                <w:t xml:space="preserve"> Gundry, </w:t>
              </w:r>
              <w:r>
                <w:rPr>
                  <w:i/>
                </w:rPr>
                <w:t xml:space="preserve">Matthew: A Commentary on His Literary and Theological Art</w:t>
              </w:r>
              <w:r>
                <w:t xml:space="preserve">, 575.</w:t>
              </w:r>
            </w:t>
          </w:r>
        </w:t>
      </w:r>
    </w:p>
  </w:footnote>
  <w:footnote w:id="17238">
    <w:p>
      <w:pPr>
        <w:pStyle w:val="FootnoteText"/>
      </w:pPr>
      <w:r>
        <w:rPr>
          <w:rStyle w:val="FootnoteReference"/>
        </w:rPr>
        <w:footnoteRef/>
      </w:r>
      <w:r>
        <w:t xml:space="preserve">
          <w:r>
            <w:t xml:space="preserve">
              <w:r>
                <w:t xml:space="preserve"> McNeile, </w:t>
              </w:r>
              <w:r>
                <w:rPr>
                  <w:i/>
                </w:rPr>
                <w:t xml:space="preserve">The Gospel According to St. Matthew</w:t>
              </w:r>
              <w:r>
                <w:t xml:space="preserve">, note on Matt. 27:51, 423.</w:t>
              </w:r>
            </w:t>
          </w:r>
        </w:t>
      </w:r>
    </w:p>
  </w:footnote>
  <w:footnote w:id="25839">
    <w:p>
      <w:pPr>
        <w:pStyle w:val="FootnoteText"/>
      </w:pPr>
      <w:r>
        <w:rPr>
          <w:rStyle w:val="FootnoteReference"/>
        </w:rPr>
        <w:footnoteRef/>
      </w:r>
      <w:r>
        <w:t xml:space="preserve">
          <w:r>
            <w:t xml:space="preserve">
              <w:r>
                <w:t xml:space="preserve"> Davies and Allison, </w:t>
              </w:r>
              <w:r>
                <w:rPr>
                  <w:i/>
                </w:rPr>
                <w:t xml:space="preserve">Matthew 19-28</w:t>
              </w:r>
              <w:r>
                <w:t xml:space="preserve"> [ICC], (full biblical references added).</w:t>
              </w:r>
            </w:t>
          </w:r>
        </w:t>
      </w:r>
    </w:p>
  </w:footnote>
  <w:footnote w:id="15262">
    <w:p>
      <w:pPr>
        <w:pStyle w:val="FootnoteText"/>
      </w:pPr>
      <w:r>
        <w:rPr>
          <w:rStyle w:val="FootnoteReference"/>
        </w:rPr>
        <w:footnoteRef/>
      </w:r>
      <w:r>
        <w:t xml:space="preserve">
          <w:r>
            <w:t xml:space="preserve">
              <w:r>
                <w:t xml:space="preserve"> Ernest Martin, </w:t>
              </w:r>
              <w:r>
                <w:rPr>
                  <w:i/>
                </w:rPr>
                <w:t xml:space="preserve">Secrets of Golgotha</w:t>
              </w:r>
              <w:r>
                <w:t xml:space="preserve">, chap. 8.</w:t>
              </w:r>
            </w:t>
          </w:r>
        </w:t>
      </w:r>
    </w:p>
  </w:footnote>
  <w:footnote w:id="22097">
    <w:p>
      <w:pPr>
        <w:pStyle w:val="FootnoteText"/>
      </w:pPr>
      <w:r>
        <w:rPr>
          <w:rStyle w:val="FootnoteReference"/>
        </w:rPr>
        <w:footnoteRef/>
      </w:r>
      <w:r>
        <w:t xml:space="preserve">
          <w:r>
            <w:t xml:space="preserve">
              <w:r>
                <w:t xml:space="preserve"> George Howard,</w:t>
              </w:r>
              <w:r>
                <w:rPr>
                  <w:i/>
                </w:rPr>
                <w:t xml:space="preserve"> Hebrew Gospel of Matthew</w:t>
              </w:r>
              <w:r>
                <w:t xml:space="preserve">, 144-45.</w:t>
              </w:r>
            </w:t>
          </w:r>
        </w:t>
      </w:r>
    </w:p>
  </w:footnote>
  <w:footnote w:id="17007">
    <w:p>
      <w:pPr>
        <w:pStyle w:val="FootnoteText"/>
      </w:pPr>
      <w:r>
        <w:rPr>
          <w:rStyle w:val="FootnoteReference"/>
        </w:rPr>
        <w:footnoteRef/>
      </w:r>
      <w:r>
        <w:t xml:space="preserve">
          <w:r>
            <w:t xml:space="preserve">
              <w:r>
                <w:t xml:space="preserve"> E. Martin, </w:t>
              </w:r>
              <w:r>
                <w:rPr>
                  <w:i/>
                </w:rPr>
                <w:t xml:space="preserve">Secrets of Golgotha</w:t>
              </w:r>
              <w:r>
                <w:t xml:space="preserve">, 6.72-79.</w:t>
              </w:r>
            </w:t>
          </w:r>
        </w:t>
      </w:r>
    </w:p>
  </w:footnote>
  <w:footnote w:id="10333">
    <w:p>
      <w:pPr>
        <w:pStyle w:val="FootnoteText"/>
      </w:pPr>
      <w:r>
        <w:rPr>
          <w:rStyle w:val="FootnoteReference"/>
        </w:rPr>
        <w:footnoteRef/>
      </w:r>
      <w:r>
        <w:t xml:space="preserve">
          <w:r>
            <w:t xml:space="preserve">
              <w:r>
                <w:t xml:space="preserve"> Spurgeon, </w:t>
              </w:r>
              <w:r>
                <w:rPr>
                  <w:i/>
                </w:rPr>
                <w:t xml:space="preserve">The Treasury of David</w:t>
              </w:r>
              <w:r>
                <w:t xml:space="preserve">, introductory notes on Psalm 22, 365.</w:t>
              </w:r>
            </w:t>
          </w:r>
        </w:t>
      </w:r>
    </w:p>
  </w:footnote>
  <w:footnote w:id="17699">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11297">
    <w:p>
      <w:pPr>
        <w:pStyle w:val="FootnoteText"/>
      </w:pPr>
      <w:r>
        <w:rPr>
          <w:rStyle w:val="FootnoteReference"/>
        </w:rPr>
        <w:footnoteRef/>
      </w:r>
      <w:r>
        <w:t xml:space="preserve">
          <w:r>
            <w:t xml:space="preserve">
              <w:r>
                <w:t xml:space="preserve"> Josephus, </w:t>
              </w:r>
              <w:r>
                <w:rPr>
                  <w:i/>
                </w:rPr>
                <w:t xml:space="preserve">Antiquities of the Jews</w:t>
              </w:r>
              <w:r>
                <w:t xml:space="preserve">, 15.5.2.</w:t>
              </w:r>
            </w:t>
          </w:r>
        </w:t>
      </w:r>
    </w:p>
  </w:footnote>
  <w:footnote w:id="14382">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725.</w:t>
              </w:r>
            </w:t>
          </w:r>
        </w:t>
      </w:r>
    </w:p>
  </w:footnote>
  <w:footnote w:id="30311">
    <w:p>
      <w:pPr>
        <w:pStyle w:val="FootnoteText"/>
      </w:pPr>
      <w:r>
        <w:rPr>
          <w:rStyle w:val="FootnoteReference"/>
        </w:rPr>
        <w:footnoteRef/>
      </w:r>
      <w:r>
        <w:t xml:space="preserve">
          <w:r>
            <w:t xml:space="preserve">
              <w:r>
                <w:t xml:space="preserve"> Lenski, </w:t>
              </w:r>
              <w:r>
                <w:rPr>
                  <w:i/>
                </w:rPr>
                <w:t xml:space="preserve">St. Matthew’s Gospel</w:t>
              </w:r>
              <w:r>
                <w:t xml:space="preserve">, 1131.</w:t>
              </w:r>
            </w:t>
          </w:r>
        </w:t>
      </w:r>
    </w:p>
  </w:footnote>
  <w:footnote w:id="27686">
    <w:p>
      <w:pPr>
        <w:pStyle w:val="FootnoteText"/>
      </w:pPr>
      <w:r>
        <w:rPr>
          <w:rStyle w:val="FootnoteReference"/>
        </w:rPr>
        <w:footnoteRef/>
      </w:r>
      <w:r>
        <w:t xml:space="preserve">
          <w:r>
            <w:t xml:space="preserve">
              <w:r>
                <w:t xml:space="preserve"> Cf. Spence-Jones and Exell, The Pulpit Commentary, 596.</w:t>
              </w:r>
            </w:t>
          </w:r>
        </w:t>
      </w:r>
    </w:p>
  </w:footnote>
  <w:footnote w:id="18813">
    <w:p>
      <w:pPr>
        <w:pStyle w:val="FootnoteText"/>
      </w:pPr>
      <w:r>
        <w:rPr>
          <w:rStyle w:val="FootnoteReference"/>
        </w:rPr>
        <w:footnoteRef/>
      </w:r>
      <w:r>
        <w:t xml:space="preserve">
          <w:r>
            <w:t xml:space="preserve">
              <w:r>
                <w:t xml:space="preserve"> Alfred Plummer, </w:t>
              </w:r>
              <w:r>
                <w:rPr>
                  <w:i/>
                </w:rPr>
                <w:t xml:space="preserve">An Exegetical Commentary on the Gospel of S. Matthew</w:t>
              </w:r>
              <w:r>
                <w:t xml:space="preserve">, 402.</w:t>
              </w:r>
            </w:t>
          </w:r>
        </w:t>
      </w:r>
    </w:p>
  </w:footnote>
  <w:footnote w:id="23273">
    <w:p>
      <w:pPr>
        <w:pStyle w:val="FootnoteText"/>
      </w:pPr>
      <w:r>
        <w:rPr>
          <w:rStyle w:val="FootnoteReference"/>
        </w:rPr>
        <w:footnoteRef/>
      </w:r>
      <w:r>
        <w:t xml:space="preserve">
          <w:r>
            <w:t xml:space="preserve">
              <w:r>
                <w:t xml:space="preserve"> A. B. Bruce, </w:t>
              </w:r>
              <w:r>
                <w:rPr>
                  <w:i/>
                </w:rPr>
                <w:t xml:space="preserve">The Expositor’s Greek Testament</w:t>
              </w:r>
              <w:r>
                <w:t xml:space="preserve">, 1:332.</w:t>
              </w:r>
            </w:t>
          </w:r>
        </w:t>
      </w:r>
    </w:p>
  </w:footnote>
  <w:footnote w:id="10644">
    <w:p>
      <w:pPr>
        <w:pStyle w:val="FootnoteText"/>
      </w:pPr>
      <w:r>
        <w:rPr>
          <w:rStyle w:val="FootnoteReference"/>
        </w:rPr>
        <w:footnoteRef/>
      </w:r>
      <w:r>
        <w:t xml:space="preserve">
          <w:r>
            <w:t xml:space="preserve">
              <w:r>
                <w:t xml:space="preserve"> Gerhard Kittel, </w:t>
              </w:r>
              <w:r>
                <w:rPr>
                  <w:i/>
                </w:rPr>
                <w:t xml:space="preserve">TDNT</w:t>
              </w:r>
              <w:r>
                <w:t xml:space="preserve">, 2:337.</w:t>
              </w:r>
            </w:t>
          </w:r>
        </w:t>
      </w:r>
    </w:p>
  </w:footnote>
  <w:footnote w:id="14667">
    <w:p>
      <w:pPr>
        <w:pStyle w:val="FootnoteText"/>
      </w:pPr>
      <w:r>
        <w:rPr>
          <w:rStyle w:val="FootnoteReference"/>
        </w:rPr>
        <w:footnoteRef/>
      </w:r>
      <w:r>
        <w:t xml:space="preserve">
          <w:r>
            <w:t xml:space="preserve">
              <w:r>
                <w:t xml:space="preserve"> </w:t>
              </w:r>
              <w:r>
                <w:rPr>
                  <w:i/>
                </w:rPr>
                <w:t xml:space="preserve">Thayer’s Greek-English Lexicon</w:t>
              </w:r>
              <w:r>
                <w:t xml:space="preserve">.</w:t>
              </w:r>
            </w:t>
          </w:r>
        </w:t>
      </w:r>
    </w:p>
  </w:footnote>
  <w:footnote w:id="28990">
    <w:p>
      <w:pPr>
        <w:pStyle w:val="FootnoteText"/>
      </w:pPr>
      <w:r>
        <w:rPr>
          <w:rStyle w:val="FootnoteReference"/>
        </w:rPr>
        <w:footnoteRef/>
      </w:r>
      <w:r>
        <w:t xml:space="preserve">
          <w:r>
            <w:t xml:space="preserve">
              <w:r>
                <w:t xml:space="preserve"> See BDAG, s.v. “ἔχω,” def. 9.</w:t>
              </w:r>
            </w:t>
          </w:r>
        </w:t>
      </w:r>
    </w:p>
  </w:footnote>
  <w:footnote w:id="1946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1:240.</w:t>
              </w:r>
            </w:t>
          </w:r>
        </w:t>
      </w:r>
    </w:p>
  </w:footnote>
  <w:footnote w:id="31008">
    <w:p>
      <w:pPr>
        <w:pStyle w:val="FootnoteText"/>
      </w:pPr>
      <w:r>
        <w:rPr>
          <w:rStyle w:val="FootnoteReference"/>
        </w:rPr>
        <w:footnoteRef/>
      </w:r>
      <w:r>
        <w:t xml:space="preserve">
          <w:r>
            <w:t xml:space="preserve">
              <w:r>
                <w:t xml:space="preserve"> For a fuller explanation of the history, see Ulrich Luz, </w:t>
              </w:r>
              <w:r>
                <w:rPr>
                  <w:i/>
                </w:rPr>
                <w:t xml:space="preserve">Matthew 21-28</w:t>
              </w:r>
              <w:r>
                <w:t xml:space="preserve">, Hermeneia, 626.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630276">
    <w:multiLevelType w:val="hybridMultilevel"/>
    <w:lvl w:ilvl="0" w:tplc="15873727">
      <w:start w:val="1"/>
      <w:numFmt w:val="decimal"/>
      <w:lvlText w:val="%1."/>
      <w:lvlJc w:val="left"/>
      <w:pPr>
        <w:ind w:left="720" w:hanging="360"/>
      </w:pPr>
    </w:lvl>
    <w:lvl w:ilvl="1" w:tplc="15873727" w:tentative="1">
      <w:start w:val="1"/>
      <w:numFmt w:val="lowerLetter"/>
      <w:lvlText w:val="%2."/>
      <w:lvlJc w:val="left"/>
      <w:pPr>
        <w:ind w:left="1440" w:hanging="360"/>
      </w:pPr>
    </w:lvl>
    <w:lvl w:ilvl="2" w:tplc="15873727" w:tentative="1">
      <w:start w:val="1"/>
      <w:numFmt w:val="lowerRoman"/>
      <w:lvlText w:val="%3."/>
      <w:lvlJc w:val="right"/>
      <w:pPr>
        <w:ind w:left="2160" w:hanging="180"/>
      </w:pPr>
    </w:lvl>
    <w:lvl w:ilvl="3" w:tplc="15873727" w:tentative="1">
      <w:start w:val="1"/>
      <w:numFmt w:val="decimal"/>
      <w:lvlText w:val="%4."/>
      <w:lvlJc w:val="left"/>
      <w:pPr>
        <w:ind w:left="2880" w:hanging="360"/>
      </w:pPr>
    </w:lvl>
    <w:lvl w:ilvl="4" w:tplc="15873727" w:tentative="1">
      <w:start w:val="1"/>
      <w:numFmt w:val="lowerLetter"/>
      <w:lvlText w:val="%5."/>
      <w:lvlJc w:val="left"/>
      <w:pPr>
        <w:ind w:left="3600" w:hanging="360"/>
      </w:pPr>
    </w:lvl>
    <w:lvl w:ilvl="5" w:tplc="15873727" w:tentative="1">
      <w:start w:val="1"/>
      <w:numFmt w:val="lowerRoman"/>
      <w:lvlText w:val="%6."/>
      <w:lvlJc w:val="right"/>
      <w:pPr>
        <w:ind w:left="4320" w:hanging="180"/>
      </w:pPr>
    </w:lvl>
    <w:lvl w:ilvl="6" w:tplc="15873727" w:tentative="1">
      <w:start w:val="1"/>
      <w:numFmt w:val="decimal"/>
      <w:lvlText w:val="%7."/>
      <w:lvlJc w:val="left"/>
      <w:pPr>
        <w:ind w:left="5040" w:hanging="360"/>
      </w:pPr>
    </w:lvl>
    <w:lvl w:ilvl="7" w:tplc="15873727" w:tentative="1">
      <w:start w:val="1"/>
      <w:numFmt w:val="lowerLetter"/>
      <w:lvlText w:val="%8."/>
      <w:lvlJc w:val="left"/>
      <w:pPr>
        <w:ind w:left="5760" w:hanging="360"/>
      </w:pPr>
    </w:lvl>
    <w:lvl w:ilvl="8" w:tplc="15873727" w:tentative="1">
      <w:start w:val="1"/>
      <w:numFmt w:val="lowerRoman"/>
      <w:lvlText w:val="%9."/>
      <w:lvlJc w:val="right"/>
      <w:pPr>
        <w:ind w:left="6480" w:hanging="180"/>
      </w:pPr>
    </w:lvl>
  </w:abstractNum>
  <w:abstractNum w:abstractNumId="35630275">
    <w:multiLevelType w:val="hybridMultilevel"/>
    <w:lvl w:ilvl="0" w:tplc="74718937">
      <w:start w:val="1"/>
      <w:numFmt w:val="decimal"/>
      <w:lvlText w:val="%1."/>
      <w:lvlJc w:val="left"/>
      <w:pPr>
        <w:ind w:left="720" w:hanging="360"/>
      </w:pPr>
    </w:lvl>
    <w:lvl w:ilvl="1" w:tplc="74718937" w:tentative="1">
      <w:start w:val="1"/>
      <w:numFmt w:val="lowerLetter"/>
      <w:lvlText w:val="%2."/>
      <w:lvlJc w:val="left"/>
      <w:pPr>
        <w:ind w:left="1440" w:hanging="360"/>
      </w:pPr>
    </w:lvl>
    <w:lvl w:ilvl="2" w:tplc="74718937" w:tentative="1">
      <w:start w:val="1"/>
      <w:numFmt w:val="lowerRoman"/>
      <w:lvlText w:val="%3."/>
      <w:lvlJc w:val="right"/>
      <w:pPr>
        <w:ind w:left="2160" w:hanging="180"/>
      </w:pPr>
    </w:lvl>
    <w:lvl w:ilvl="3" w:tplc="74718937" w:tentative="1">
      <w:start w:val="1"/>
      <w:numFmt w:val="decimal"/>
      <w:lvlText w:val="%4."/>
      <w:lvlJc w:val="left"/>
      <w:pPr>
        <w:ind w:left="2880" w:hanging="360"/>
      </w:pPr>
    </w:lvl>
    <w:lvl w:ilvl="4" w:tplc="74718937" w:tentative="1">
      <w:start w:val="1"/>
      <w:numFmt w:val="lowerLetter"/>
      <w:lvlText w:val="%5."/>
      <w:lvlJc w:val="left"/>
      <w:pPr>
        <w:ind w:left="3600" w:hanging="360"/>
      </w:pPr>
    </w:lvl>
    <w:lvl w:ilvl="5" w:tplc="74718937" w:tentative="1">
      <w:start w:val="1"/>
      <w:numFmt w:val="lowerRoman"/>
      <w:lvlText w:val="%6."/>
      <w:lvlJc w:val="right"/>
      <w:pPr>
        <w:ind w:left="4320" w:hanging="180"/>
      </w:pPr>
    </w:lvl>
    <w:lvl w:ilvl="6" w:tplc="74718937" w:tentative="1">
      <w:start w:val="1"/>
      <w:numFmt w:val="decimal"/>
      <w:lvlText w:val="%7."/>
      <w:lvlJc w:val="left"/>
      <w:pPr>
        <w:ind w:left="5040" w:hanging="360"/>
      </w:pPr>
    </w:lvl>
    <w:lvl w:ilvl="7" w:tplc="74718937" w:tentative="1">
      <w:start w:val="1"/>
      <w:numFmt w:val="lowerLetter"/>
      <w:lvlText w:val="%8."/>
      <w:lvlJc w:val="left"/>
      <w:pPr>
        <w:ind w:left="5760" w:hanging="360"/>
      </w:pPr>
    </w:lvl>
    <w:lvl w:ilvl="8" w:tplc="74718937" w:tentative="1">
      <w:start w:val="1"/>
      <w:numFmt w:val="lowerRoman"/>
      <w:lvlText w:val="%9."/>
      <w:lvlJc w:val="right"/>
      <w:pPr>
        <w:ind w:left="6480" w:hanging="180"/>
      </w:pPr>
    </w:lvl>
  </w:abstractNum>
  <w:abstractNum w:abstractNumId="35630274">
    <w:multiLevelType w:val="hybridMultilevel"/>
    <w:lvl w:ilvl="0" w:tplc="92461433">
      <w:start w:val="1"/>
      <w:numFmt w:val="decimal"/>
      <w:lvlText w:val="%1."/>
      <w:lvlJc w:val="left"/>
      <w:pPr>
        <w:ind w:left="720" w:hanging="360"/>
      </w:pPr>
    </w:lvl>
    <w:lvl w:ilvl="1" w:tplc="92461433" w:tentative="1">
      <w:start w:val="1"/>
      <w:numFmt w:val="lowerLetter"/>
      <w:lvlText w:val="%2."/>
      <w:lvlJc w:val="left"/>
      <w:pPr>
        <w:ind w:left="1440" w:hanging="360"/>
      </w:pPr>
    </w:lvl>
    <w:lvl w:ilvl="2" w:tplc="92461433" w:tentative="1">
      <w:start w:val="1"/>
      <w:numFmt w:val="lowerRoman"/>
      <w:lvlText w:val="%3."/>
      <w:lvlJc w:val="right"/>
      <w:pPr>
        <w:ind w:left="2160" w:hanging="180"/>
      </w:pPr>
    </w:lvl>
    <w:lvl w:ilvl="3" w:tplc="92461433" w:tentative="1">
      <w:start w:val="1"/>
      <w:numFmt w:val="decimal"/>
      <w:lvlText w:val="%4."/>
      <w:lvlJc w:val="left"/>
      <w:pPr>
        <w:ind w:left="2880" w:hanging="360"/>
      </w:pPr>
    </w:lvl>
    <w:lvl w:ilvl="4" w:tplc="92461433" w:tentative="1">
      <w:start w:val="1"/>
      <w:numFmt w:val="lowerLetter"/>
      <w:lvlText w:val="%5."/>
      <w:lvlJc w:val="left"/>
      <w:pPr>
        <w:ind w:left="3600" w:hanging="360"/>
      </w:pPr>
    </w:lvl>
    <w:lvl w:ilvl="5" w:tplc="92461433" w:tentative="1">
      <w:start w:val="1"/>
      <w:numFmt w:val="lowerRoman"/>
      <w:lvlText w:val="%6."/>
      <w:lvlJc w:val="right"/>
      <w:pPr>
        <w:ind w:left="4320" w:hanging="180"/>
      </w:pPr>
    </w:lvl>
    <w:lvl w:ilvl="6" w:tplc="92461433" w:tentative="1">
      <w:start w:val="1"/>
      <w:numFmt w:val="decimal"/>
      <w:lvlText w:val="%7."/>
      <w:lvlJc w:val="left"/>
      <w:pPr>
        <w:ind w:left="5040" w:hanging="360"/>
      </w:pPr>
    </w:lvl>
    <w:lvl w:ilvl="7" w:tplc="92461433" w:tentative="1">
      <w:start w:val="1"/>
      <w:numFmt w:val="lowerLetter"/>
      <w:lvlText w:val="%8."/>
      <w:lvlJc w:val="left"/>
      <w:pPr>
        <w:ind w:left="5760" w:hanging="360"/>
      </w:pPr>
    </w:lvl>
    <w:lvl w:ilvl="8" w:tplc="92461433" w:tentative="1">
      <w:start w:val="1"/>
      <w:numFmt w:val="lowerRoman"/>
      <w:lvlText w:val="%9."/>
      <w:lvlJc w:val="right"/>
      <w:pPr>
        <w:ind w:left="6480" w:hanging="180"/>
      </w:pPr>
    </w:lvl>
  </w:abstractNum>
  <w:abstractNum w:abstractNumId="35630273">
    <w:multiLevelType w:val="hybridMultilevel"/>
    <w:lvl w:ilvl="0" w:tplc="64045526">
      <w:start w:val="1"/>
      <w:numFmt w:val="decimal"/>
      <w:lvlText w:val="%1."/>
      <w:lvlJc w:val="left"/>
      <w:pPr>
        <w:ind w:left="720" w:hanging="360"/>
      </w:pPr>
    </w:lvl>
    <w:lvl w:ilvl="1" w:tplc="64045526" w:tentative="1">
      <w:start w:val="1"/>
      <w:numFmt w:val="lowerLetter"/>
      <w:lvlText w:val="%2."/>
      <w:lvlJc w:val="left"/>
      <w:pPr>
        <w:ind w:left="1440" w:hanging="360"/>
      </w:pPr>
    </w:lvl>
    <w:lvl w:ilvl="2" w:tplc="64045526" w:tentative="1">
      <w:start w:val="1"/>
      <w:numFmt w:val="lowerRoman"/>
      <w:lvlText w:val="%3."/>
      <w:lvlJc w:val="right"/>
      <w:pPr>
        <w:ind w:left="2160" w:hanging="180"/>
      </w:pPr>
    </w:lvl>
    <w:lvl w:ilvl="3" w:tplc="64045526" w:tentative="1">
      <w:start w:val="1"/>
      <w:numFmt w:val="decimal"/>
      <w:lvlText w:val="%4."/>
      <w:lvlJc w:val="left"/>
      <w:pPr>
        <w:ind w:left="2880" w:hanging="360"/>
      </w:pPr>
    </w:lvl>
    <w:lvl w:ilvl="4" w:tplc="64045526" w:tentative="1">
      <w:start w:val="1"/>
      <w:numFmt w:val="lowerLetter"/>
      <w:lvlText w:val="%5."/>
      <w:lvlJc w:val="left"/>
      <w:pPr>
        <w:ind w:left="3600" w:hanging="360"/>
      </w:pPr>
    </w:lvl>
    <w:lvl w:ilvl="5" w:tplc="64045526" w:tentative="1">
      <w:start w:val="1"/>
      <w:numFmt w:val="lowerRoman"/>
      <w:lvlText w:val="%6."/>
      <w:lvlJc w:val="right"/>
      <w:pPr>
        <w:ind w:left="4320" w:hanging="180"/>
      </w:pPr>
    </w:lvl>
    <w:lvl w:ilvl="6" w:tplc="64045526" w:tentative="1">
      <w:start w:val="1"/>
      <w:numFmt w:val="decimal"/>
      <w:lvlText w:val="%7."/>
      <w:lvlJc w:val="left"/>
      <w:pPr>
        <w:ind w:left="5040" w:hanging="360"/>
      </w:pPr>
    </w:lvl>
    <w:lvl w:ilvl="7" w:tplc="64045526" w:tentative="1">
      <w:start w:val="1"/>
      <w:numFmt w:val="lowerLetter"/>
      <w:lvlText w:val="%8."/>
      <w:lvlJc w:val="left"/>
      <w:pPr>
        <w:ind w:left="5760" w:hanging="360"/>
      </w:pPr>
    </w:lvl>
    <w:lvl w:ilvl="8" w:tplc="64045526" w:tentative="1">
      <w:start w:val="1"/>
      <w:numFmt w:val="lowerRoman"/>
      <w:lvlText w:val="%9."/>
      <w:lvlJc w:val="right"/>
      <w:pPr>
        <w:ind w:left="6480" w:hanging="180"/>
      </w:pPr>
    </w:lvl>
  </w:abstractNum>
  <w:abstractNum w:abstractNumId="35630272">
    <w:multiLevelType w:val="hybridMultilevel"/>
    <w:lvl w:ilvl="0" w:tplc="32178344">
      <w:start w:val="1"/>
      <w:numFmt w:val="decimal"/>
      <w:lvlText w:val="%1."/>
      <w:lvlJc w:val="left"/>
      <w:pPr>
        <w:ind w:left="720" w:hanging="360"/>
      </w:pPr>
    </w:lvl>
    <w:lvl w:ilvl="1" w:tplc="32178344" w:tentative="1">
      <w:start w:val="1"/>
      <w:numFmt w:val="lowerLetter"/>
      <w:lvlText w:val="%2."/>
      <w:lvlJc w:val="left"/>
      <w:pPr>
        <w:ind w:left="1440" w:hanging="360"/>
      </w:pPr>
    </w:lvl>
    <w:lvl w:ilvl="2" w:tplc="32178344" w:tentative="1">
      <w:start w:val="1"/>
      <w:numFmt w:val="lowerRoman"/>
      <w:lvlText w:val="%3."/>
      <w:lvlJc w:val="right"/>
      <w:pPr>
        <w:ind w:left="2160" w:hanging="180"/>
      </w:pPr>
    </w:lvl>
    <w:lvl w:ilvl="3" w:tplc="32178344" w:tentative="1">
      <w:start w:val="1"/>
      <w:numFmt w:val="decimal"/>
      <w:lvlText w:val="%4."/>
      <w:lvlJc w:val="left"/>
      <w:pPr>
        <w:ind w:left="2880" w:hanging="360"/>
      </w:pPr>
    </w:lvl>
    <w:lvl w:ilvl="4" w:tplc="32178344" w:tentative="1">
      <w:start w:val="1"/>
      <w:numFmt w:val="lowerLetter"/>
      <w:lvlText w:val="%5."/>
      <w:lvlJc w:val="left"/>
      <w:pPr>
        <w:ind w:left="3600" w:hanging="360"/>
      </w:pPr>
    </w:lvl>
    <w:lvl w:ilvl="5" w:tplc="32178344" w:tentative="1">
      <w:start w:val="1"/>
      <w:numFmt w:val="lowerRoman"/>
      <w:lvlText w:val="%6."/>
      <w:lvlJc w:val="right"/>
      <w:pPr>
        <w:ind w:left="4320" w:hanging="180"/>
      </w:pPr>
    </w:lvl>
    <w:lvl w:ilvl="6" w:tplc="32178344" w:tentative="1">
      <w:start w:val="1"/>
      <w:numFmt w:val="decimal"/>
      <w:lvlText w:val="%7."/>
      <w:lvlJc w:val="left"/>
      <w:pPr>
        <w:ind w:left="5040" w:hanging="360"/>
      </w:pPr>
    </w:lvl>
    <w:lvl w:ilvl="7" w:tplc="32178344" w:tentative="1">
      <w:start w:val="1"/>
      <w:numFmt w:val="lowerLetter"/>
      <w:lvlText w:val="%8."/>
      <w:lvlJc w:val="left"/>
      <w:pPr>
        <w:ind w:left="5760" w:hanging="360"/>
      </w:pPr>
    </w:lvl>
    <w:lvl w:ilvl="8" w:tplc="32178344" w:tentative="1">
      <w:start w:val="1"/>
      <w:numFmt w:val="lowerRoman"/>
      <w:lvlText w:val="%9."/>
      <w:lvlJc w:val="right"/>
      <w:pPr>
        <w:ind w:left="6480" w:hanging="180"/>
      </w:pPr>
    </w:lvl>
  </w:abstractNum>
  <w:abstractNum w:abstractNumId="35630271">
    <w:multiLevelType w:val="hybridMultilevel"/>
    <w:lvl w:ilvl="0" w:tplc="13179351">
      <w:start w:val="1"/>
      <w:numFmt w:val="decimal"/>
      <w:lvlText w:val="%1."/>
      <w:lvlJc w:val="left"/>
      <w:pPr>
        <w:ind w:left="720" w:hanging="360"/>
      </w:pPr>
    </w:lvl>
    <w:lvl w:ilvl="1" w:tplc="13179351" w:tentative="1">
      <w:start w:val="1"/>
      <w:numFmt w:val="lowerLetter"/>
      <w:lvlText w:val="%2."/>
      <w:lvlJc w:val="left"/>
      <w:pPr>
        <w:ind w:left="1440" w:hanging="360"/>
      </w:pPr>
    </w:lvl>
    <w:lvl w:ilvl="2" w:tplc="13179351" w:tentative="1">
      <w:start w:val="1"/>
      <w:numFmt w:val="lowerRoman"/>
      <w:lvlText w:val="%3."/>
      <w:lvlJc w:val="right"/>
      <w:pPr>
        <w:ind w:left="2160" w:hanging="180"/>
      </w:pPr>
    </w:lvl>
    <w:lvl w:ilvl="3" w:tplc="13179351" w:tentative="1">
      <w:start w:val="1"/>
      <w:numFmt w:val="decimal"/>
      <w:lvlText w:val="%4."/>
      <w:lvlJc w:val="left"/>
      <w:pPr>
        <w:ind w:left="2880" w:hanging="360"/>
      </w:pPr>
    </w:lvl>
    <w:lvl w:ilvl="4" w:tplc="13179351" w:tentative="1">
      <w:start w:val="1"/>
      <w:numFmt w:val="lowerLetter"/>
      <w:lvlText w:val="%5."/>
      <w:lvlJc w:val="left"/>
      <w:pPr>
        <w:ind w:left="3600" w:hanging="360"/>
      </w:pPr>
    </w:lvl>
    <w:lvl w:ilvl="5" w:tplc="13179351" w:tentative="1">
      <w:start w:val="1"/>
      <w:numFmt w:val="lowerRoman"/>
      <w:lvlText w:val="%6."/>
      <w:lvlJc w:val="right"/>
      <w:pPr>
        <w:ind w:left="4320" w:hanging="180"/>
      </w:pPr>
    </w:lvl>
    <w:lvl w:ilvl="6" w:tplc="13179351" w:tentative="1">
      <w:start w:val="1"/>
      <w:numFmt w:val="decimal"/>
      <w:lvlText w:val="%7."/>
      <w:lvlJc w:val="left"/>
      <w:pPr>
        <w:ind w:left="5040" w:hanging="360"/>
      </w:pPr>
    </w:lvl>
    <w:lvl w:ilvl="7" w:tplc="13179351" w:tentative="1">
      <w:start w:val="1"/>
      <w:numFmt w:val="lowerLetter"/>
      <w:lvlText w:val="%8."/>
      <w:lvlJc w:val="left"/>
      <w:pPr>
        <w:ind w:left="5760" w:hanging="360"/>
      </w:pPr>
    </w:lvl>
    <w:lvl w:ilvl="8" w:tplc="13179351" w:tentative="1">
      <w:start w:val="1"/>
      <w:numFmt w:val="lowerRoman"/>
      <w:lvlText w:val="%9."/>
      <w:lvlJc w:val="right"/>
      <w:pPr>
        <w:ind w:left="6480" w:hanging="180"/>
      </w:pPr>
    </w:lvl>
  </w:abstractNum>
  <w:abstractNum w:abstractNumId="17882">
    <w:multiLevelType w:val="hybridMultilevel"/>
    <w:lvl w:ilvl="0" w:tplc="458577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882">
    <w:abstractNumId w:val="17882"/>
  </w:num>
  <w:num w:numId="35630271">
    <w:abstractNumId w:val="35630271"/>
  </w:num>
  <w:num w:numId="35630272">
    <w:abstractNumId w:val="35630272"/>
  </w:num>
  <w:num w:numId="35630273">
    <w:abstractNumId w:val="35630273"/>
  </w:num>
  <w:num w:numId="35630274">
    <w:abstractNumId w:val="35630274"/>
  </w:num>
  <w:num w:numId="35630275">
    <w:abstractNumId w:val="35630275"/>
  </w:num>
  <w:num w:numId="35630276">
    <w:abstractNumId w:val="356302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9822454" Type="http://schemas.openxmlformats.org/officeDocument/2006/relationships/numbering" Target="numbering.xml"/><Relationship Id="rId545873668" Type="http://schemas.openxmlformats.org/officeDocument/2006/relationships/comments" Target="comments.xml"/><Relationship Id="rId61486862ad65bd424" Type="http://schemas.openxmlformats.org/officeDocument/2006/relationships/footer" Target="defaultFooter.xml"/><Relationship Id="rId76536862ad65ec8bb" Type="http://schemas.openxmlformats.org/officeDocument/2006/relationships/hyperlink" Target="jsondload.php?fil=2332" TargetMode="External"/><Relationship Id="rId60646862ad666223b" Type="http://schemas.openxmlformats.org/officeDocument/2006/relationships/hyperlink" Target="http://en.wikipedia.org/wiki/Abundantia" TargetMode="External"/><Relationship Id="rId35666862ad6662252" Type="http://schemas.openxmlformats.org/officeDocument/2006/relationships/hyperlink" Target="http://en.wikipedia.org/wiki/Aequitas" TargetMode="External"/><Relationship Id="rId82296862ad6662260" Type="http://schemas.openxmlformats.org/officeDocument/2006/relationships/hyperlink" Target="http://en.wikipedia.org/wiki/Bonus_Eventus" TargetMode="External"/><Relationship Id="rId17276862ad666226d" Type="http://schemas.openxmlformats.org/officeDocument/2006/relationships/hyperlink" Target="http://en.wikipedia.org/wiki/Mors_%28mythology%29" TargetMode="External"/><Relationship Id="rId34386862ad666227b" Type="http://schemas.openxmlformats.org/officeDocument/2006/relationships/hyperlink" Target="http://en.wikipedia.org/wiki/Thanatos" TargetMode="External"/><Relationship Id="rId31336862ad66edf12" Type="http://schemas.openxmlformats.org/officeDocument/2006/relationships/hyperlink" Target="https://en.wikipedia.org/wiki/Lolium_temulentum" TargetMode="External"/><Relationship Id="rId82046862ad67efeeb"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