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FootnoteReference"/>
        </w:rPr>
        <w:footnoteReference w:id="28444"/>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FootnoteReference"/>
        </w:rPr>
        <w:footnoteReference w:id="29038"/>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FootnoteReference"/>
        </w:rPr>
        <w:footnoteReference w:id="17740"/>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the appearing of our great God and Savior’s glory—Jesus Christ,</w:t>
      </w:r>
      <w:r>
        <w:rPr>
          <w:rStyle w:val="FootnoteReference"/>
        </w:rPr>
        <w:footnoteReference w:id="29803"/>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we ourselves were also at one time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FootnoteReference"/>
        </w:rPr>
        <w:footnoteReference w:id="28166"/>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72136862ad649093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360051"/>
      <w:docPartObj>
        <w:docPartGallery w:val="Page Numbers (Bottom of Page)"/>
        <w:docPartUnique/>
      </w:docPartObj>
    </w:sdtPr>
    <w:sdtContent>
      <w:sdt>
        <w:sdtPr>
          <w:id w:val="6469410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444">
    <w:p>
      <w:pPr>
        <w:pStyle w:val="FootnoteText"/>
      </w:pPr>
      <w:r>
        <w:rPr>
          <w:rStyle w:val="FootnoteReference"/>
        </w:rPr>
        <w:footnoteRef/>
      </w:r>
      <w:r>
        <w:t xml:space="preserve">
          <w:r>
            <w:t xml:space="preserve">
              <w:r>
                <w:t xml:space="preserve"> Lit. “the Anointed One”</w:t>
              </w:r>
            </w:t>
          </w:r>
        </w:t>
      </w:r>
    </w:p>
  </w:footnote>
  <w:footnote w:id="29038">
    <w:p>
      <w:pPr>
        <w:pStyle w:val="FootnoteText"/>
      </w:pPr>
      <w:r>
        <w:rPr>
          <w:rStyle w:val="FootnoteReference"/>
        </w:rPr>
        <w:footnoteRef/>
      </w:r>
      <w:r>
        <w:t xml:space="preserve">
          <w:r>
            <w:t xml:space="preserve">
              <w:r>
                <w:t xml:space="preserve"> “Faith” refers to the Christian Faith.</w:t>
              </w:r>
            </w:t>
          </w:r>
        </w:t>
      </w:r>
    </w:p>
  </w:footnote>
  <w:footnote w:id="17740">
    <w:p>
      <w:pPr>
        <w:pStyle w:val="FootnoteText"/>
      </w:pPr>
      <w:r>
        <w:rPr>
          <w:rStyle w:val="FootnoteReference"/>
        </w:rPr>
        <w:footnoteRef/>
      </w:r>
      <w:r>
        <w:t xml:space="preserve">
          <w:r>
            <w:t xml:space="preserve">
              <w:r>
                <w:t xml:space="preserve"> Or “all good faithfulness”</w:t>
              </w:r>
            </w:t>
          </w:r>
        </w:t>
      </w:r>
    </w:p>
  </w:footnote>
  <w:footnote w:id="29803">
    <w:p>
      <w:pPr>
        <w:pStyle w:val="FootnoteText"/>
      </w:pPr>
      <w:r>
        <w:rPr>
          <w:rStyle w:val="FootnoteReference"/>
        </w:rPr>
        <w:footnoteRef/>
      </w:r>
      <w:r>
        <w:t xml:space="preserve">
          <w:r>
            <w:t xml:space="preserve">
              <w:r>
                <w:t xml:space="preserve"> Lit. “the Anointed One”</w:t>
              </w:r>
            </w:t>
          </w:r>
        </w:t>
      </w:r>
    </w:p>
  </w:footnote>
  <w:footnote w:id="28166">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711761">
    <w:multiLevelType w:val="hybridMultilevel"/>
    <w:lvl w:ilvl="0" w:tplc="89049292">
      <w:start w:val="1"/>
      <w:numFmt w:val="decimal"/>
      <w:lvlText w:val="%1."/>
      <w:lvlJc w:val="left"/>
      <w:pPr>
        <w:ind w:left="720" w:hanging="360"/>
      </w:pPr>
    </w:lvl>
    <w:lvl w:ilvl="1" w:tplc="89049292" w:tentative="1">
      <w:start w:val="1"/>
      <w:numFmt w:val="lowerLetter"/>
      <w:lvlText w:val="%2."/>
      <w:lvlJc w:val="left"/>
      <w:pPr>
        <w:ind w:left="1440" w:hanging="360"/>
      </w:pPr>
    </w:lvl>
    <w:lvl w:ilvl="2" w:tplc="89049292" w:tentative="1">
      <w:start w:val="1"/>
      <w:numFmt w:val="lowerRoman"/>
      <w:lvlText w:val="%3."/>
      <w:lvlJc w:val="right"/>
      <w:pPr>
        <w:ind w:left="2160" w:hanging="180"/>
      </w:pPr>
    </w:lvl>
    <w:lvl w:ilvl="3" w:tplc="89049292" w:tentative="1">
      <w:start w:val="1"/>
      <w:numFmt w:val="decimal"/>
      <w:lvlText w:val="%4."/>
      <w:lvlJc w:val="left"/>
      <w:pPr>
        <w:ind w:left="2880" w:hanging="360"/>
      </w:pPr>
    </w:lvl>
    <w:lvl w:ilvl="4" w:tplc="89049292" w:tentative="1">
      <w:start w:val="1"/>
      <w:numFmt w:val="lowerLetter"/>
      <w:lvlText w:val="%5."/>
      <w:lvlJc w:val="left"/>
      <w:pPr>
        <w:ind w:left="3600" w:hanging="360"/>
      </w:pPr>
    </w:lvl>
    <w:lvl w:ilvl="5" w:tplc="89049292" w:tentative="1">
      <w:start w:val="1"/>
      <w:numFmt w:val="lowerRoman"/>
      <w:lvlText w:val="%6."/>
      <w:lvlJc w:val="right"/>
      <w:pPr>
        <w:ind w:left="4320" w:hanging="180"/>
      </w:pPr>
    </w:lvl>
    <w:lvl w:ilvl="6" w:tplc="89049292" w:tentative="1">
      <w:start w:val="1"/>
      <w:numFmt w:val="decimal"/>
      <w:lvlText w:val="%7."/>
      <w:lvlJc w:val="left"/>
      <w:pPr>
        <w:ind w:left="5040" w:hanging="360"/>
      </w:pPr>
    </w:lvl>
    <w:lvl w:ilvl="7" w:tplc="89049292" w:tentative="1">
      <w:start w:val="1"/>
      <w:numFmt w:val="lowerLetter"/>
      <w:lvlText w:val="%8."/>
      <w:lvlJc w:val="left"/>
      <w:pPr>
        <w:ind w:left="5760" w:hanging="360"/>
      </w:pPr>
    </w:lvl>
    <w:lvl w:ilvl="8" w:tplc="89049292" w:tentative="1">
      <w:start w:val="1"/>
      <w:numFmt w:val="lowerRoman"/>
      <w:lvlText w:val="%9."/>
      <w:lvlJc w:val="right"/>
      <w:pPr>
        <w:ind w:left="6480" w:hanging="180"/>
      </w:pPr>
    </w:lvl>
  </w:abstractNum>
  <w:abstractNum w:abstractNumId="28638">
    <w:multiLevelType w:val="hybridMultilevel"/>
    <w:lvl w:ilvl="0" w:tplc="593811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38">
    <w:abstractNumId w:val="28638"/>
  </w:num>
  <w:num w:numId="33711761">
    <w:abstractNumId w:val="337117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8295993" Type="http://schemas.openxmlformats.org/officeDocument/2006/relationships/numbering" Target="numbering.xml"/><Relationship Id="rId674171273" Type="http://schemas.openxmlformats.org/officeDocument/2006/relationships/comments" Target="comments.xml"/><Relationship Id="rId72136862ad649093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