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5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FootnoteReference"/>
        </w:rPr>
        <w:footnoteReference w:id="14547"/>
      </w:r>
      <w:r>
        <w:rPr/>
        <w:t xml:space="preserve"> and also “cleverness.”</w:t>
      </w:r>
      <w:r>
        <w:rPr>
          <w:rStyle w:val="FootnoteReference"/>
        </w:rPr>
        <w:footnoteReference w:id="12161"/>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FootnoteReference"/>
        </w:rPr>
        <w:footnoteReference w:id="29519"/>
      </w:r>
      <w:r>
        <w:rPr/>
        <w:t xml:space="preserve"> defines the word as “figure, enigma” and “satire, mocking poem,” and the BDB</w:t>
      </w:r>
      <w:r>
        <w:rPr>
          <w:rStyle w:val="FootnoteReference"/>
        </w:rPr>
        <w:footnoteReference w:id="24702"/>
      </w:r>
      <w:r>
        <w:rPr/>
        <w:t xml:space="preserve"> defines the word in the same way. The </w:t>
      </w:r>
      <w:r>
        <w:rPr>
          <w:i/>
          <w:iCs/>
        </w:rPr>
        <w:t xml:space="preserve">HALOT</w:t>
      </w:r>
      <w:r>
        <w:rPr>
          <w:rStyle w:val="FootnoteReference"/>
        </w:rPr>
        <w:footnoteReference w:id="27318"/>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w:t>
      </w:r>
      <w:r>
        <w:rPr>
          <w:i/>
          <w:iCs/>
        </w:rPr>
        <w:t xml:space="preserve">bar</w:t>
      </w:r>
      <w:r>
        <w:rPr/>
        <w:t xml:space="preserve">”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w:t>
      </w:r>
      <w:r>
        <w:rPr>
          <w:i/>
          <w:iCs/>
        </w:rPr>
        <w:t xml:space="preserve">Hades</w:t>
      </w:r>
      <w:r>
        <w:rPr/>
        <w:t xml:space="preserve">” is a mistake and causes confusion because according to tradition, the dead people in hell and </w:t>
      </w:r>
      <w:r>
        <w:rPr>
          <w:i/>
          <w:iCs/>
        </w:rPr>
        <w:t xml:space="preserve">Hades</w:t>
      </w:r>
      <w:r>
        <w:rPr/>
        <w:t xml:space="preserve">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Word Study: “Hades.”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FootnoteReference"/>
        </w:rPr>
        <w:footnoteReference w:id="31408"/>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because of all the people there, are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 In contrast, the archaeology of Lachish, a large city in southern Israel, shows that it had a double gate.</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Hebrew and Greek, the word “hate” has a large range of meanings from actual “hate” to simply loving something less than something else, neglecting or ignoring something, or being disgusted by something. In this context in Proverbs, “hate” has a number of different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hatred as a “deep, enduring, intense emotion expressing animosity, anger, and hostility towards a person, group, or object.”</w:t>
      </w:r>
      <w:r>
        <w:rPr>
          <w:rStyle w:val="FootnoteReference"/>
        </w:rPr>
        <w:footnoteReference w:id="13256"/>
      </w:r>
      <w:r>
        <w:rPr/>
        <w:t xml:space="preserve">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68742523"/>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68742523"/>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68742523"/>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68742523"/>
        </w:numPr>
        <w:spacing w:before="0" w:after="0" w:line="240" w:lineRule="auto"/>
        <w:rPr/>
      </w:pPr>
      <w:r>
        <w:rPr/>
        <w:t xml:space="preserve">“Hate” is used to mean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68742523"/>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 if we are going to really understand it.</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FootnoteReference"/>
        </w:rPr>
        <w:footnoteReference w:id="19050"/>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FootnoteReference"/>
        </w:rPr>
        <w:footnoteReference w:id="24632"/>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VersHead"/>
        <w:widowControl w:val="on"/>
      </w:pPr>
      <w:r>
        <w:rPr/>
        <w:t xml:space="preserve">Pro 2:21</w:t>
      </w:r>
    </w:p>
    <w:p>
      <w:pPr>
        <w:pStyle w:val="rNormal"/>
        <w:widowControl w:val="on"/>
        <w:spacing w:before="240" w:after="240" w:line="240" w:lineRule="auto"/>
        <w:ind w:left="0" w:right="0" w:firstLine="1"/>
        <w:jc w:val="left"/>
      </w:pPr>
      <w:r>
        <w:rPr>
          <w:b/>
          <w:bCs/>
        </w:rPr>
        <w:t xml:space="preserve">“the upright will live in the land.”</w:t>
      </w:r>
      <w:r>
        <w:rPr/>
        <w:t xml:space="preserve"> In this context, when the text says “live in the land,” it means to live there forever. Verses like this are throughout the Old Testament (cf. Ps. 37:11, 18, 22). The phrase “the blameless will remain in it” means the same thing, said in a different way.</w:t>
      </w:r>
    </w:p>
    <w:p>
      <w:pPr>
        <w:pStyle w:val="rNormal"/>
        <w:widowControl w:val="on"/>
        <w:spacing w:before="240" w:after="240" w:line="240" w:lineRule="auto"/>
        <w:ind w:left="0" w:right="0"/>
        <w:jc w:val="left"/>
      </w:pPr>
      <w:r>
        <w:rPr/>
        <w:t xml:space="preserve">In the future, Christ will come to earth, fight the Battle of Armageddon, conquer the earth, and set up his kingdom on it, and at that time “the meek will inherit the earth” (Matt. 5:5), just as Jesus taught.</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wicked will be cut off from the land.”</w:t>
      </w:r>
      <w:r>
        <w:rPr/>
        <w:t xml:space="preserve"> This is one of the ways that God says the wicked will not have everlasting life. The wicked will be resurrected, judged, then thrown into the Lake of Fire and die again (Rev. 20:11-15). The wicked will eventually die—be annihilated—in the Lake of Fire. Although many people believe the wicked will “go to hell and burn forever,” the Bible says they will burn up and die. That is the reason the Bible calls the Lake of Fire “the second death” (Rev. 20:14).</w:t>
      </w:r>
    </w:p>
    <w:p>
      <w:pPr>
        <w:pStyle w:val="rNormal"/>
        <w:widowControl w:val="on"/>
        <w:spacing w:before="240" w:after="240" w:line="240" w:lineRule="auto"/>
        <w:ind w:left="0" w:right="0"/>
        <w:jc w:val="left"/>
      </w:pPr>
      <w:r>
        <w:rPr/>
        <w:t xml:space="preserve">[For more on death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tithing, see commentary on Deut. 14:22. For more on the Devil being the ruler of the world, see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FootnoteReference"/>
        </w:rPr>
        <w:footnoteReference w:id="29964"/>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FootnoteReference"/>
        </w:rPr>
        <w:footnoteReference w:id="11811"/>
      </w:r>
      <w:r>
        <w:rPr/>
        <w:t xml:space="preserve"> Bruce Waltke writes: “Without the moral light of either conscience within or of revelation without they do not know the cause of their calamity, for they see no connection between sin and death.”</w:t>
      </w:r>
      <w:r>
        <w:rPr>
          <w:rStyle w:val="FootnoteReference"/>
        </w:rPr>
        <w:footnoteReference w:id="20311"/>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FootnoteReference"/>
        </w:rPr>
        <w:footnoteReference w:id="14608"/>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FootnoteReference"/>
        </w:rPr>
        <w:footnoteReference w:id="20491"/>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FootnoteReference"/>
        </w:rPr>
        <w:footnoteReference w:id="21102"/>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FootnoteReference"/>
        </w:rPr>
        <w:footnoteReference w:id="26978"/>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FootnoteReference"/>
        </w:rPr>
        <w:footnoteReference w:id="13144"/>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means more than just life or death on this earth, and often extends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FootnoteReference"/>
        </w:rPr>
        <w:footnoteReference w:id="29072"/>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FootnoteReference"/>
        </w:rPr>
        <w:footnoteReference w:id="16485"/>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FootnoteReference"/>
        </w:rPr>
        <w:footnoteReference w:id="22104"/>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The peace offering was the only sacrifice made by the people that the people got to eat some of the meat (Lev. 7:15-16).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FootnoteReference"/>
        </w:rPr>
        <w:footnoteReference w:id="11841"/>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FootnoteReference"/>
        </w:rPr>
        <w:footnoteReference w:id="17600"/>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FootnoteReference"/>
        </w:rPr>
        <w:footnoteReference w:id="16780"/>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FootnoteReference"/>
        </w:rPr>
        <w:footnoteReference w:id="18134"/>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FootnoteReference"/>
        </w:rPr>
        <w:footnoteReference w:id="21461"/>
      </w:r>
      <w:r>
        <w:rPr/>
        <w:t xml:space="preserve">; and Keil and Delitzsch</w:t>
      </w:r>
      <w:r>
        <w:rPr>
          <w:rStyle w:val="FootnoteReference"/>
        </w:rPr>
        <w:footnoteReference w:id="11306"/>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FootnoteReference"/>
        </w:rPr>
        <w:footnoteReference w:id="26125"/>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FootnoteReference"/>
        </w:rPr>
        <w:footnoteReference w:id="15464"/>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10:22</w:t>
      </w:r>
    </w:p>
    <w:p>
      <w:pPr>
        <w:pStyle w:val="rNormal"/>
        <w:widowControl w:val="on"/>
        <w:spacing w:before="240" w:after="240" w:line="240" w:lineRule="auto"/>
        <w:ind w:left="0" w:right="0" w:firstLine="1"/>
        <w:jc w:val="left"/>
      </w:pPr>
      <w:r>
        <w:rPr>
          <w:b/>
          <w:bCs/>
        </w:rPr>
        <w:t xml:space="preserve">“he does not combine pain with </w:t>
      </w:r>
      <w:r>
        <w:rPr>
          <w:b/>
          <w:bCs/>
          <w:i/>
          <w:iCs/>
        </w:rPr>
        <w:t xml:space="preserve">the blessing</w:t>
      </w:r>
      <w:r>
        <w:rPr>
          <w:b/>
          <w:bCs/>
        </w:rPr>
        <w:t xml:space="preserve">.”</w:t>
      </w:r>
      <w:r>
        <w:rPr/>
        <w:t xml:space="preserve"> God is good. This is stated in a number of places in the Bible (e.g., Ps. 100:5; 119:68; 135:3; cp. Prov. 10:22. See commentary on James 1:17).</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FootnoteReference"/>
        </w:rPr>
        <w:footnoteReference w:id="27303"/>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FootnoteReference"/>
        </w:rPr>
        <w:footnoteReference w:id="25915"/>
      </w:r>
      <w:r>
        <w:rPr/>
        <w:t xml:space="preserve"> In this context it refers to being “shaken” off the land, or “removed,” “moved,” or “overthrown.”</w:t>
      </w:r>
      <w:r>
        <w:rPr>
          <w:rStyle w:val="FootnoteReference"/>
        </w:rPr>
        <w:footnoteReference w:id="13372"/>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FootnoteReference"/>
        </w:rPr>
        <w:footnoteReference w:id="14170"/>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Normal"/>
        <w:widowControl w:val="on"/>
        <w:spacing w:before="240" w:after="240" w:line="240" w:lineRule="auto"/>
        <w:ind w:left="0" w:right="0" w:firstLine="1"/>
        <w:jc w:val="left"/>
      </w:pPr>
      <w:r>
        <w:rPr>
          <w:b/>
          <w:bCs/>
        </w:rPr>
        <w:t xml:space="preserve">“joyful shouting at the death of the wicked.”</w:t>
      </w:r>
      <w:r>
        <w:rPr/>
        <w:t xml:space="preserve"> Although there certainly are twisted people who “call evil good and good evil,” (Isa. 5:20) this proverb is teaching that there is an innate sense of justice in most people. People rejoice when others get what they deserve. How beautiful is it then, that in the end, true justice will be dealt out by God (Rom. 12:19).</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FootnoteReference"/>
        </w:rPr>
        <w:footnoteReference w:id="21792"/>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FootnoteReference"/>
        </w:rPr>
        <w:footnoteReference w:id="17380"/>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FootnoteReference"/>
        </w:rPr>
        <w:footnoteReference w:id="15393"/>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the REV used the translation “excellent.”</w:t>
      </w:r>
    </w:p>
    <w:p>
      <w:pPr>
        <w:pStyle w:val="rNormal"/>
        <w:widowControl w:val="on"/>
        <w:spacing w:before="240" w:after="240" w:line="240" w:lineRule="auto"/>
        <w:ind w:left="0" w:right="0" w:firstLine="1"/>
        <w:jc w:val="left"/>
      </w:pPr>
      <w:r>
        <w:rPr>
          <w:b/>
          <w:bCs/>
        </w:rPr>
        <w:t xml:space="preserve">“she who acts shamefully.”</w:t>
      </w:r>
      <w:r>
        <w:rPr/>
        <w:t xml:space="preserve"> The biblical society, including Old Testament Israel and the Greek and Roman societies, were what is known as “honor-shame” societies, and they were “shame-based” societies. Because of that, shame was a common feeling in biblical times, and the words “shame, “ashamed,” “shamefully,” etc., occur over 250 times in the Bible.</w:t>
      </w:r>
    </w:p>
    <w:p>
      <w:pPr>
        <w:pStyle w:val="rNormal"/>
        <w:widowControl w:val="on"/>
        <w:spacing w:before="240" w:after="240" w:line="240" w:lineRule="auto"/>
        <w:ind w:left="0" w:right="0"/>
        <w:jc w:val="left"/>
      </w:pPr>
      <w:r>
        <w:rPr/>
        <w:t xml:space="preserve">“Shame” in a shame-based society is a powerful feeling and motivator. “Shame” can have an external or internal source (or both). Externally, shame comes from others and is a kind of external label that can have many causes. Internally, however, shame is a powerful inner sense and feeling of inadequacy and unworthiness. It often manifests itself by the feeling that “nobody wants to be with me” or “if people really knew me, no one would want to be with me.” Shame involves what you think about yourself and what you think and conclude about what others think about you (which can be correct or incorrect conclusions). Shame is also often based on what you know that others do think about you and knowing why they act toward you the way they do.</w:t>
      </w:r>
    </w:p>
    <w:p>
      <w:pPr>
        <w:pStyle w:val="rNormal"/>
        <w:widowControl w:val="on"/>
        <w:spacing w:before="240" w:after="240" w:line="240" w:lineRule="auto"/>
        <w:ind w:left="0" w:right="0"/>
        <w:jc w:val="left"/>
      </w:pPr>
      <w:r>
        <w:rPr/>
        <w:t xml:space="preserve">In an honor-shame society, to have honor was to have esteem and standing in the society, and there were many things that could bring honor, for example, personal behavior, family connections, political connections, wealth, or a skill or ability. Similarly, there were many things that could bring shame, including things you can control, like personal behavior, and things you cannot control, such as the family you were born into.</w:t>
      </w:r>
    </w:p>
    <w:p>
      <w:pPr>
        <w:pStyle w:val="rNormal"/>
        <w:widowControl w:val="on"/>
        <w:spacing w:before="240" w:after="240" w:line="240" w:lineRule="auto"/>
        <w:ind w:left="0" w:right="0"/>
        <w:jc w:val="left"/>
      </w:pPr>
      <w:r>
        <w:rPr/>
        <w:t xml:space="preserve">It is important to understand the difference between “guilt” and “shame.” “Guilt” is the feeling associated with doing wrong, usually doing wrong or badly in some specific thing; for example, lying may bring a specific feeling of guilt. While shame can come from doing wrong, it is more insidious than guilt because it is often undeserved or materially baseless. Many people feel inadequate and unworthy when they shouldn’t because their feelings are untrue, they are not based in reality.</w:t>
      </w:r>
    </w:p>
    <w:p>
      <w:pPr>
        <w:pStyle w:val="rNormal"/>
        <w:widowControl w:val="on"/>
        <w:spacing w:before="240" w:after="240" w:line="240" w:lineRule="auto"/>
        <w:ind w:left="0" w:right="0"/>
        <w:jc w:val="left"/>
      </w:pPr>
      <w:r>
        <w:rPr/>
        <w:t xml:space="preserve">Here in Proverbs 12:4, we are dealing with a woman who acts shamefully, defying social norms in some way, and her behavior brings shame to her and her family—they all lose standing and esteem in their community. The woman’s shameful actions affect her husband very deeply, which is why the phrase “like decay in his bones” is used. The husband is hurt deeply inside, on the “bone level.” He doesn’t understand his wife, and he is shamed and almost certainly confused by her actions. The woman is hard-hearted, and apparently doesn’t care that the way she is acting is hurting her, her family, and likely her extended family, who would distance themselves from her so as not to be shamed along with her.</w:t>
      </w:r>
    </w:p>
    <w:p>
      <w:pPr>
        <w:pStyle w:val="rNormal"/>
        <w:widowControl w:val="on"/>
        <w:spacing w:before="240" w:after="240" w:line="240" w:lineRule="auto"/>
        <w:ind w:left="0" w:right="0"/>
        <w:jc w:val="left"/>
      </w:pPr>
      <w:r>
        <w:rPr/>
        <w:t xml:space="preserve">So here in Proverbs 12:4, we see a “motivator” in the fabric of the honor-shame society. The Proverb states that a woman who acts shamefully is like decay in her husband’s bones, and any normal wife would not want that to happen, so she would be motivated not to defy social norms and bring that shame on her husband and family. In reading the proverb, we can see that shame is a powerful motivator to keep people inside the social norms, no matter if those norms are godly or ungodly. We would hope those norms would be godly, but sadly, often they are not.</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FootnoteReference"/>
        </w:rPr>
        <w:footnoteReference w:id="27046"/>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FootnoteReference"/>
        </w:rPr>
        <w:footnoteReference w:id="12457"/>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FootnoteReference"/>
        </w:rPr>
        <w:footnoteReference w:id="15442"/>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NASB1995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FootnoteReference"/>
        </w:rPr>
        <w:footnoteReference w:id="21627"/>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will be helped along.</w:t>
      </w:r>
    </w:p>
    <w:p>
      <w:pPr>
        <w:pStyle w:val="rNormal"/>
        <w:widowControl w:val="on"/>
        <w:spacing w:before="240" w:after="240" w:line="240" w:lineRule="auto"/>
        <w:ind w:left="0" w:right="0"/>
        <w:jc w:val="left"/>
      </w:pPr>
      <w:r>
        <w:rPr/>
        <w:t xml:space="preserve">Unlike our modern culture, in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Normal"/>
        <w:widowControl w:val="on"/>
        <w:spacing w:before="240" w:after="240" w:line="240" w:lineRule="auto"/>
        <w:ind w:left="0" w:right="0" w:firstLine="1"/>
        <w:jc w:val="left"/>
      </w:pPr>
      <w:r>
        <w:rPr>
          <w:b/>
          <w:bCs/>
        </w:rPr>
        <w:t xml:space="preserve">“the wealth of the sinner is being stored up for the righteous person.”</w:t>
      </w:r>
      <w:r>
        <w:rPr/>
        <w:t xml:space="preserve"> This statement is similar to one in Ecclesiastes 2:26. One of the overall messages of Proverbs is that being righteous will greatly benefit a person, while being a sinner and God-rejector will eventually end in disaster. Thus, there is both a temporal and eschatological meaning to this verse. In some cases here on earth the righteous will end up with the wealth of the sinner, so in that sense, this proverb portrays an ideal situation. But it is also eschatological because in the future heaven and earth, the righteous people will end up with all the wealth and benefits, while sinners will die and thus have nothing.</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FootnoteReference"/>
        </w:rPr>
        <w:footnoteReference w:id="29564"/>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FootnoteReference"/>
        </w:rPr>
        <w:footnoteReference w:id="17323"/>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FootnoteReference"/>
        </w:rPr>
        <w:footnoteReference w:id="20724"/>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FootnoteReference"/>
        </w:rPr>
        <w:footnoteReference w:id="21163"/>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FootnoteReference"/>
        </w:rPr>
        <w:footnoteReference w:id="14506"/>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FootnoteReference"/>
        </w:rPr>
        <w:footnoteReference w:id="28716"/>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Word Study: “Psuchē.”]</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FootnoteReference"/>
        </w:rPr>
        <w:footnoteReference w:id="26753"/>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Normal"/>
        <w:widowControl w:val="on"/>
        <w:spacing w:before="240" w:after="240" w:line="240" w:lineRule="auto"/>
        <w:ind w:left="0" w:right="0" w:firstLine="1"/>
        <w:jc w:val="left"/>
      </w:pPr>
      <w:r>
        <w:rPr>
          <w:b/>
          <w:bCs/>
        </w:rPr>
        <w:t xml:space="preserve">“one who rules his spirit is </w:t>
      </w:r>
      <w:r>
        <w:rPr>
          <w:b/>
          <w:bCs/>
          <w:i/>
          <w:iCs/>
        </w:rPr>
        <w:t xml:space="preserve">better</w:t>
      </w:r>
      <w:r>
        <w:rPr>
          <w:b/>
          <w:bCs/>
        </w:rPr>
        <w:t xml:space="preserve"> than one who captures a city.”</w:t>
      </w:r>
      <w:r>
        <w:rPr/>
        <w:t xml:space="preserve"> It is very important to control your emotions, and Proverbs speaks about that (cf. Prov. 25:28).</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is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FootnoteReference"/>
        </w:rPr>
        <w:footnoteReference w:id="25275"/>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FootnoteReference"/>
        </w:rPr>
        <w:footnoteReference w:id="29192"/>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FootnoteReference"/>
        </w:rPr>
        <w:footnoteReference w:id="14631"/>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FootnoteReference"/>
        </w:rPr>
        <w:footnoteReference w:id="14343"/>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Many prophecies and promises that would be fulfilled here on earth if our societies were ideal and godly. But since we are sinful people and live in a fallen world in which the Devil is the ruler of the world, our societies are not godly and ideal, and because of that,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often does not happen here on earth, but it will certainly be fulfilled in the Millennial Kingdom.</w:t>
      </w:r>
    </w:p>
    <w:p>
      <w:pPr>
        <w:pStyle w:val="rNormal"/>
        <w:widowControl w:val="on"/>
        <w:spacing w:before="240" w:after="240" w:line="240" w:lineRule="auto"/>
        <w:ind w:left="0" w:right="0"/>
        <w:jc w:val="left"/>
      </w:pPr>
      <w:r>
        <w:rPr/>
        <w:t xml:space="preserve">There are many “ideal” prophecies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It is also worth noting that 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 After Noah’s Flood, God gave judicial control of the earth, and the punishment of criminals, over to people (Gen. 9:6). Today, people are responsible for maintaining godly societies. If we do not do that, shame on us, and we will suffer for not obeying God and not protecting our societies.</w:t>
      </w:r>
    </w:p>
    <w:p>
      <w:pPr>
        <w:pStyle w:val="rNormal"/>
        <w:widowControl w:val="on"/>
        <w:spacing w:before="240" w:after="240" w:line="240" w:lineRule="auto"/>
        <w:ind w:left="0" w:right="0"/>
        <w:jc w:val="left"/>
      </w:pPr>
      <w:r>
        <w:rPr/>
        <w:t xml:space="preserve">[For more on the Devil being the ruler of the world, see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FootnoteReference"/>
        </w:rPr>
        <w:footnoteReference w:id="25228"/>
      </w:r>
      <w:r>
        <w:rPr/>
        <w:t xml:space="preserve"> Waltke renders the last stanza: “and a wife’s quarrellings are a leaky roof that drips constantly.”</w:t>
      </w:r>
      <w:r>
        <w:rPr>
          <w:rStyle w:val="FootnoteReference"/>
        </w:rPr>
        <w:footnoteReference w:id="23082"/>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FootnoteReference"/>
        </w:rPr>
        <w:footnoteReference w:id="11098"/>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FootnoteReference"/>
        </w:rPr>
        <w:footnoteReference w:id="11407"/>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FootnoteReference"/>
        </w:rPr>
        <w:footnoteReference w:id="15234"/>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FootnoteReference"/>
        </w:rPr>
        <w:footnoteReference w:id="10205"/>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FootnoteReference"/>
        </w:rPr>
        <w:footnoteReference w:id="25892"/>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FootnoteReference"/>
        </w:rPr>
        <w:footnoteReference w:id="19764"/>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FootnoteReference"/>
        </w:rPr>
        <w:footnoteReference w:id="20062"/>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FootnoteReference"/>
        </w:rPr>
        <w:footnoteReference w:id="14601"/>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FootnoteReference"/>
        </w:rPr>
        <w:footnoteReference w:id="22853"/>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FootnoteReference"/>
        </w:rPr>
        <w:footnoteReference w:id="27699"/>
      </w:r>
      <w:r>
        <w:rPr/>
        <w:t xml:space="preserve"> although some lexicons say, “harvest time,”</w:t>
      </w:r>
      <w:r>
        <w:rPr>
          <w:rStyle w:val="FootnoteReference"/>
        </w:rPr>
        <w:footnoteReference w:id="24793"/>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were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FootnoteReference"/>
        </w:rPr>
        <w:footnoteReference w:id="24861"/>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FootnoteReference"/>
        </w:rPr>
        <w:footnoteReference w:id="22446"/>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FootnoteReference"/>
        </w:rPr>
        <w:footnoteReference w:id="30620"/>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22:4</w:t>
      </w:r>
    </w:p>
    <w:p>
      <w:pPr>
        <w:pStyle w:val="rNormal"/>
        <w:widowControl w:val="on"/>
        <w:spacing w:before="240" w:after="240" w:line="240" w:lineRule="auto"/>
        <w:ind w:left="0" w:right="0" w:firstLine="1"/>
        <w:jc w:val="left"/>
      </w:pPr>
      <w:r>
        <w:rPr>
          <w:b/>
          <w:bCs/>
        </w:rPr>
        <w:t xml:space="preserve">“and life.”</w:t>
      </w:r>
      <w:r>
        <w:rPr/>
        <w:t xml:space="preserve"> While “life” certainly implies a fuller and more enjoyable life in this life, it also implies everlasting life in the next life.</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commentary on Prov. 19:5.]</w:t>
      </w:r>
    </w:p>
    <w:p>
      <w:pPr>
        <w:pStyle w:val="rVersHead"/>
        <w:widowControl w:val="on"/>
      </w:pPr>
      <w:r>
        <w:rPr/>
        <w:t xml:space="preserve">Pro 22:8</w:t>
      </w:r>
    </w:p>
    <w:p>
      <w:pPr>
        <w:pStyle w:val="rNormal"/>
        <w:widowControl w:val="on"/>
        <w:spacing w:before="240" w:after="240" w:line="240" w:lineRule="auto"/>
        <w:ind w:left="0" w:right="0" w:firstLine="1"/>
        <w:jc w:val="left"/>
      </w:pPr>
      <w:r>
        <w:rPr>
          <w:b/>
          <w:bCs/>
        </w:rPr>
        <w:t xml:space="preserve">“The one who sows injustice will reap wickedness.”</w:t>
      </w:r>
      <w:r>
        <w:rPr/>
        <w:t xml:space="preserve"> This does not always seem to apply here on earth today, but it will certainly be seen to be an accurate statement on the Day of Judgment. Nevertheless, many wicked people do reap wicked consequences here on earth.</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Normal"/>
        <w:widowControl w:val="on"/>
        <w:spacing w:before="240" w:after="240" w:line="240" w:lineRule="auto"/>
        <w:ind w:left="0" w:right="0" w:firstLine="1"/>
        <w:jc w:val="left"/>
      </w:pPr>
      <w:r>
        <w:rPr>
          <w:b/>
          <w:bCs/>
        </w:rPr>
        <w:t xml:space="preserve">“both will come to poverty.”</w:t>
      </w:r>
      <w:r>
        <w:rPr/>
        <w:t xml:space="preserve"> This is one of the “ideal” statements in Proverbs, a statement that should be true on earth, but often isn’t, and hence has an eschatological overtone: it will be fully fulfilled in the future (see commentary on Prov. 19:5).</w:t>
      </w:r>
    </w:p>
    <w:p>
      <w:pPr>
        <w:pStyle w:val="rVersHead"/>
        <w:widowControl w:val="on"/>
      </w:pPr>
      <w:r>
        <w:rPr/>
        <w:t xml:space="preserve">Pro 22:22</w:t>
      </w:r>
    </w:p>
    <w:p>
      <w:pPr>
        <w:pStyle w:val="rNormal"/>
        <w:widowControl w:val="on"/>
        <w:spacing w:before="240" w:after="240" w:line="240" w:lineRule="auto"/>
        <w:ind w:left="0" w:right="0" w:firstLine="1"/>
        <w:jc w:val="left"/>
      </w:pPr>
      <w:r>
        <w:rPr>
          <w:b/>
          <w:bCs/>
        </w:rPr>
        <w:t xml:space="preserve">“and do not crush the needy at the city gate.”</w:t>
      </w:r>
      <w:r>
        <w:rPr/>
        <w:t xml:space="preserve"> The city gate was where the elders and judges of the city met to do business and judge cases that came before them. If a city had wicked rulers, then the poor and the needy were “robbed” and “crushed,” i.e., “taken advantage of,” at the city gate. Make no mistake, God will repay wicked people for what they have done on the Day of Judgment, so He warns us to live in a godly fashion now.</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FootnoteReference"/>
        </w:rPr>
        <w:footnoteReference w:id="24588"/>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FootnoteReference"/>
        </w:rPr>
        <w:footnoteReference w:id="27865"/>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FootnoteReference"/>
        </w:rPr>
        <w:footnoteReference w:id="29100"/>
      </w:r>
      <w:r>
        <w:rPr/>
        <w:t xml:space="preserve"> </w:t>
      </w:r>
      <w:r>
        <w:rPr>
          <w:i/>
          <w:iCs/>
        </w:rPr>
        <w:t xml:space="preserve">HALOT</w:t>
      </w:r>
      <w:r>
        <w:rPr/>
        <w:t xml:space="preserve"> has “ineffective,” which would yield a meaning such as, “your pleasant words have been ineffective.”</w:t>
      </w:r>
      <w:r>
        <w:rPr>
          <w:rStyle w:val="FootnoteReference"/>
        </w:rPr>
        <w:footnoteReference w:id="21906"/>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FootnoteReference"/>
        </w:rPr>
        <w:footnoteReference w:id="17444"/>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FootnoteReference"/>
        </w:rPr>
        <w:footnoteReference w:id="18386"/>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FootnoteReference"/>
        </w:rPr>
        <w:footnoteReference w:id="15261"/>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translated in Proverbs 25:28 as “emotions” is </w:t>
      </w:r>
      <w:r>
        <w:rPr>
          <w:i/>
          <w:iCs/>
        </w:rPr>
        <w:t xml:space="preserve">ruach</w:t>
      </w:r>
      <w:r>
        <w:rPr/>
        <w:t xml:space="preserve"> (#07307 רוּחַ), which is often translated as “spirit.” Although the Hebrew word </w:t>
      </w:r>
      <w:r>
        <w:rPr>
          <w:i/>
          <w:iCs/>
        </w:rPr>
        <w:t xml:space="preserve">ruach</w:t>
      </w:r>
      <w:r>
        <w:rPr/>
        <w:t xml:space="preserve"> has been translated as “emotions” in the REV, the word </w:t>
      </w:r>
      <w:r>
        <w:rPr>
          <w:i/>
          <w:iCs/>
        </w:rPr>
        <w:t xml:space="preserve">ruach</w:t>
      </w:r>
      <w:r>
        <w:rPr/>
        <w:t xml:space="preserve"> (“spirit”) can also refer to thoughts and attitudes, which explains translations such as “temper” (CSB, JPS), and “appetite” (Geneva Bible), and many translations simply stay with the common translation “spirit.”</w:t>
      </w:r>
    </w:p>
    <w:p>
      <w:pPr>
        <w:pStyle w:val="rNormal"/>
        <w:widowControl w:val="on"/>
        <w:spacing w:before="240" w:after="240" w:line="240" w:lineRule="auto"/>
        <w:ind w:left="0" w:right="0"/>
        <w:jc w:val="left"/>
      </w:pPr>
      <w:r>
        <w:rPr/>
        <w:t xml:space="preserve">All of those things—emotions,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 Controlling one’s emotions and attitudes is spoken about in other verses as well (cf. Prov. 16:32).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who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FootnoteReference"/>
        </w:rPr>
        <w:footnoteReference w:id="29274"/>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FootnoteReference"/>
        </w:rPr>
        <w:footnoteReference w:id="32502"/>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FootnoteReference"/>
        </w:rPr>
        <w:footnoteReference w:id="10363"/>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FootnoteReference"/>
        </w:rPr>
        <w:footnoteReference w:id="18899"/>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“an enemy.”</w:t>
      </w:r>
      <w:r>
        <w:rPr/>
        <w:t xml:space="preserve"> In this context, although “one who hates you” is the literal meaning, it is referring to “an enemy.” Thus, </w:t>
      </w:r>
      <w:r>
        <w:rPr>
          <w:i/>
          <w:iCs/>
        </w:rPr>
        <w:t xml:space="preserve">HALOT</w:t>
      </w:r>
      <w:r>
        <w:rPr/>
        <w:t xml:space="preserve"> has “enemy” for this verse, and almost all the English versions do, as well as commentators such as Michael Fox, Bruce Waltke, Robert Alter, and Richard Clifford.</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amphibologia,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27:10</w:t>
      </w:r>
    </w:p>
    <w:p>
      <w:pPr>
        <w:pStyle w:val="rNormal"/>
        <w:widowControl w:val="on"/>
        <w:spacing w:before="240" w:after="240" w:line="240" w:lineRule="auto"/>
        <w:ind w:left="0" w:right="0" w:firstLine="1"/>
        <w:jc w:val="left"/>
      </w:pPr>
      <w:r>
        <w:rPr>
          <w:b/>
          <w:bCs/>
        </w:rPr>
        <w:t xml:space="preserve">“Do not forsake your friend or your father’s friend.”</w:t>
      </w:r>
      <w:r>
        <w:rPr/>
        <w:t xml:space="preserve"> This statement was especially true in the biblical world. There was no quick means of communication, such as the phone, and there was not even a quick way to get from one place to another. In today’s world, if a friend lives five miles away, we can cover that distance in almost as many minutes. But in the ancient world, covering that distance would likely take an hour, give or take a bit. The exortation of the text, therefore, is to make friends with neighbors and people who live close to you and do not “forsake” them, i.e., do not abandon the common practices of keeping friendships going, such as taking time to chat with neighbors; bringing them food if they are sick, hurt, or have suffered a tragedy; remembering them with a card at Christmas, etc.</w:t>
      </w:r>
    </w:p>
    <w:p>
      <w:pPr>
        <w:pStyle w:val="rNormal"/>
        <w:widowControl w:val="on"/>
        <w:spacing w:before="240" w:after="240" w:line="240" w:lineRule="auto"/>
        <w:ind w:left="0" w:right="0"/>
        <w:jc w:val="left"/>
      </w:pPr>
      <w:r>
        <w:rPr/>
        <w:t xml:space="preserve">In this case, the “friend” is not just “your friend,” he can be “your father’s friend” as well, meaning that he has been a friend of the family for many years. Those long-time friendships are precious and valuable, and very worth the effort of maintaining. Those long-time friends are the kind you can absolutely rely on when you need help.</w:t>
      </w:r>
    </w:p>
    <w:p>
      <w:pPr>
        <w:pStyle w:val="rNormal"/>
        <w:widowControl w:val="on"/>
        <w:spacing w:before="240" w:after="240" w:line="240" w:lineRule="auto"/>
        <w:ind w:left="0" w:right="0" w:firstLine="1"/>
        <w:jc w:val="left"/>
      </w:pPr>
      <w:r>
        <w:rPr>
          <w:b/>
          <w:bCs/>
        </w:rPr>
        <w:t xml:space="preserve">“do not enter into your brother’s house on the day of your distress.”</w:t>
      </w:r>
      <w:r>
        <w:rPr/>
        <w:t xml:space="preserve"> This is one of the many verses in the Bible that only makes sense when understood in the context. In this case, the context is in the same verse: “better is a neighbor nearby than a brother far away.” This tells us that the “friend” mentioned in the first phrase of the verse is close by, while the “brother” in the second phrase of the verse is not close, but far away. Although that “far away” would normally be far in distance, the text could also refer to the brother being “far away” in a mental or emotional way, or even that the brother is poor, infirm, or unable to help for some other reason. An example of the wider possible understanding of “far away” is Proverbs 15:29, which says, “Yahweh is far from the wicked.” Yahweh is only “far away” from the wicked in the sense that He is not in a position to help them due to their unwillingness to draw near to Him; He is not “far away” in physical distance.</w:t>
      </w:r>
    </w:p>
    <w:p>
      <w:pPr>
        <w:pStyle w:val="rNormal"/>
        <w:widowControl w:val="on"/>
        <w:spacing w:before="240" w:after="240" w:line="240" w:lineRule="auto"/>
        <w:ind w:left="0" w:right="0"/>
        <w:jc w:val="left"/>
      </w:pPr>
      <w:r>
        <w:rPr/>
        <w:t xml:space="preserve">At first reading, the second phrase seems to disagree with some of the other verses in Proverbs. For example, Proverbs 17:17 says, “A friend loves at all times, and a brother is born for </w:t>
      </w:r>
      <w:r>
        <w:rPr>
          <w:i/>
          <w:iCs/>
        </w:rPr>
        <w:t xml:space="preserve">times of</w:t>
      </w:r>
      <w:r>
        <w:rPr/>
        <w:t xml:space="preserve"> distress.” But it is the context that determines the meaning of any verse. Ideally, a brother is close and always ready to help, but lots of times life just doesn’t work out that way. In summary, a good friend close by is better than a brother who lives (or is) far away.</w:t>
      </w:r>
    </w:p>
    <w:p>
      <w:pPr>
        <w:pStyle w:val="rNormal"/>
        <w:widowControl w:val="on"/>
        <w:spacing w:before="240" w:after="240" w:line="240" w:lineRule="auto"/>
        <w:ind w:left="0" w:right="0"/>
        <w:jc w:val="left"/>
      </w:pPr>
      <w:r>
        <w:rPr/>
        <w:t xml:space="preserve">[For more on ideal Proverbs and prophecies, see commentary on Prov. 19:5.]</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FootnoteReference"/>
        </w:rPr>
        <w:footnoteReference w:id="13119"/>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FootnoteReference"/>
        </w:rPr>
        <w:footnoteReference w:id="26837"/>
      </w:r>
      <w:r>
        <w:rPr/>
        <w:t xml:space="preserve"> The Rabbis generally agree with this interpretation.</w:t>
      </w:r>
      <w:r>
        <w:rPr>
          <w:rStyle w:val="FootnoteReference"/>
        </w:rPr>
        <w:footnoteReference w:id="30816"/>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FootnoteReference"/>
        </w:rPr>
        <w:footnoteReference w:id="32680"/>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Thus, it seems the words should go together this way: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FootnoteReference"/>
        </w:rPr>
        <w:footnoteReference w:id="26316"/>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FootnoteReference"/>
        </w:rPr>
        <w:footnoteReference w:id="25546"/>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FootnoteReference"/>
        </w:rPr>
        <w:footnoteReference w:id="27499"/>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FootnoteReference"/>
        </w:rPr>
        <w:footnoteReference w:id="19252"/>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FootnoteReference"/>
        </w:rPr>
        <w:footnoteReference w:id="24546"/>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FootnoteReference"/>
        </w:rPr>
        <w:footnoteReference w:id="24577"/>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FootnoteReference"/>
        </w:rPr>
        <w:footnoteReference w:id="30813"/>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FootnoteReference"/>
        </w:rPr>
        <w:footnoteReference w:id="22839"/>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FootnoteReference"/>
        </w:rPr>
        <w:footnoteReference w:id="24127"/>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FootnoteReference"/>
        </w:rPr>
        <w:footnoteReference w:id="32295"/>
      </w:r>
      <w:r>
        <w:rPr/>
        <w:t xml:space="preserve"> or it can mean a “portion” of food.</w:t>
      </w:r>
      <w:r>
        <w:rPr>
          <w:rStyle w:val="FootnoteReference"/>
        </w:rPr>
        <w:footnoteReference w:id="28593"/>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FootnoteReference"/>
        </w:rPr>
        <w:footnoteReference w:id="27247"/>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FootnoteReference"/>
        </w:rPr>
        <w:footnoteReference w:id="31956"/>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FootnoteReference"/>
        </w:rPr>
        <w:footnoteReference w:id="18082"/>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58876862ad576b3d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705143"/>
      <w:docPartObj>
        <w:docPartGallery w:val="Page Numbers (Bottom of Page)"/>
        <w:docPartUnique/>
      </w:docPartObj>
    </w:sdtPr>
    <w:sdtContent>
      <w:sdt>
        <w:sdtPr>
          <w:id w:val="5306704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54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2161">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9519">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w:t>
              </w:r>
            </w:t>
          </w:r>
        </w:t>
      </w:r>
    </w:p>
  </w:footnote>
  <w:footnote w:id="2470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7318">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31408">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196.</w:t>
              </w:r>
            </w:t>
          </w:r>
        </w:t>
      </w:r>
    </w:p>
  </w:footnote>
  <w:footnote w:id="13256">
    <w:p>
      <w:pPr>
        <w:pStyle w:val="FootnoteText"/>
      </w:pPr>
      <w:r>
        <w:rPr>
          <w:rStyle w:val="FootnoteReference"/>
        </w:rPr>
        <w:footnoteRef/>
      </w:r>
      <w:r>
        <w:t xml:space="preserve">
          <w:r>
            <w:t xml:space="preserve">
              <w:r>
                <w:t xml:space="preserve"> Arthur Reber, Rhianon Allen, and Emily Reber, </w:t>
              </w:r>
              <w:r>
                <w:rPr>
                  <w:i/>
                </w:rPr>
                <w:t xml:space="preserve">Penguin Dictionary of Psychology</w:t>
              </w:r>
              <w:r>
                <w:t xml:space="preserve">, s.v. “hatred,” 342.</w:t>
              </w:r>
            </w:t>
          </w:r>
        </w:t>
      </w:r>
    </w:p>
  </w:footnote>
  <w:footnote w:id="19050">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t>
          </w:r>
        </w:t>
      </w:r>
    </w:p>
  </w:footnote>
  <w:footnote w:id="24632">
    <w:p>
      <w:pPr>
        <w:pStyle w:val="FootnoteText"/>
      </w:pPr>
      <w:r>
        <w:rPr>
          <w:rStyle w:val="FootnoteReference"/>
        </w:rPr>
        <w:footnoteRef/>
      </w:r>
      <w:r>
        <w:t xml:space="preserve">
          <w:r>
            <w:t xml:space="preserve">
              <w:r>
                <w:t xml:space="preserve"> Cf. Michael Fox, </w:t>
              </w:r>
              <w:r>
                <w:rPr>
                  <w:i/>
                </w:rPr>
                <w:t xml:space="preserve">Proverbs 1-9</w:t>
              </w:r>
              <w:r>
                <w:t xml:space="preserve"> [AB], 134-141.</w:t>
              </w:r>
            </w:t>
          </w:r>
        </w:t>
      </w:r>
    </w:p>
  </w:footnote>
  <w:footnote w:id="29964">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1811">
    <w:p>
      <w:pPr>
        <w:pStyle w:val="FootnoteText"/>
      </w:pPr>
      <w:r>
        <w:rPr>
          <w:rStyle w:val="FootnoteReference"/>
        </w:rPr>
        <w:footnoteRef/>
      </w:r>
      <w:r>
        <w:t xml:space="preserve">
          <w:r>
            <w:t xml:space="preserve">
              <w:r>
                <w:t xml:space="preserve"> Michael Fox, </w:t>
              </w:r>
              <w:r>
                <w:rPr>
                  <w:i/>
                </w:rPr>
                <w:t xml:space="preserve">Proverbs 1-9</w:t>
              </w:r>
              <w:r>
                <w:t xml:space="preserve"> [AB].</w:t>
              </w:r>
            </w:t>
          </w:r>
        </w:t>
      </w:r>
    </w:p>
  </w:footnote>
  <w:footnote w:id="20311">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292.</w:t>
              </w:r>
            </w:t>
          </w:r>
        </w:t>
      </w:r>
    </w:p>
  </w:footnote>
  <w:footnote w:id="14608">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s.v. “synecdoche.”</w:t>
              </w:r>
            </w:t>
          </w:r>
        </w:t>
      </w:r>
    </w:p>
  </w:footnote>
  <w:footnote w:id="20491">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w:t>
              </w:r>
            </w:t>
          </w:r>
        </w:t>
      </w:r>
    </w:p>
  </w:footnote>
  <w:footnote w:id="21102">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26978">
    <w:p>
      <w:pPr>
        <w:pStyle w:val="FootnoteText"/>
      </w:pPr>
      <w:r>
        <w:rPr>
          <w:rStyle w:val="FootnoteReference"/>
        </w:rPr>
        <w:footnoteRef/>
      </w:r>
      <w:r>
        <w:t xml:space="preserve">
          <w:r>
            <w:t xml:space="preserve">
              <w:r>
                <w:t xml:space="preserve"> Cf. Bruce Waltke, </w:t>
              </w:r>
              <w:r>
                <w:rPr>
                  <w:i/>
                </w:rPr>
                <w:t xml:space="preserve">Proverbs: Chapters 1-15</w:t>
              </w:r>
              <w:r>
                <w:t xml:space="preserve"> [NICOT], 302n7.</w:t>
              </w:r>
            </w:t>
          </w:r>
        </w:t>
      </w:r>
    </w:p>
  </w:footnote>
  <w:footnote w:id="13144">
    <w:p>
      <w:pPr>
        <w:pStyle w:val="FootnoteText"/>
      </w:pPr>
      <w:r>
        <w:rPr>
          <w:rStyle w:val="FootnoteReference"/>
        </w:rPr>
        <w:footnoteRef/>
      </w:r>
      <w:r>
        <w:t xml:space="preserve">
          <w:r>
            <w:t xml:space="preserve">
              <w:r>
                <w:t xml:space="preserve"> B. Waltke, </w:t>
              </w:r>
              <w:r>
                <w:rPr>
                  <w:i/>
                </w:rPr>
                <w:t xml:space="preserve">Proverbs</w:t>
              </w:r>
              <w:r>
                <w:t xml:space="preserve"> [NICOT], 304n37.</w:t>
              </w:r>
            </w:t>
          </w:r>
        </w:t>
      </w:r>
    </w:p>
  </w:footnote>
  <w:footnote w:id="2907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t>
          </w:r>
        </w:t>
      </w:r>
    </w:p>
  </w:footnote>
  <w:footnote w:id="16485">
    <w:p>
      <w:pPr>
        <w:pStyle w:val="FootnoteText"/>
      </w:pPr>
      <w:r>
        <w:rPr>
          <w:rStyle w:val="FootnoteReference"/>
        </w:rPr>
        <w:footnoteRef/>
      </w:r>
      <w:r>
        <w:t xml:space="preserve">
          <w:r>
            <w:t xml:space="preserve">
              <w:r>
                <w:t xml:space="preserve"> C. H. Toy, </w:t>
              </w:r>
              <w:r>
                <w:rPr>
                  <w:i/>
                </w:rPr>
                <w:t xml:space="preserve">Proverbs</w:t>
              </w:r>
              <w:r>
                <w:t xml:space="preserve"> [ICC], 145.</w:t>
              </w:r>
            </w:t>
          </w:r>
        </w:t>
      </w:r>
    </w:p>
  </w:footnote>
  <w:footnote w:id="22104">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11841">
    <w:p>
      <w:pPr>
        <w:pStyle w:val="FootnoteText"/>
      </w:pPr>
      <w:r>
        <w:rPr>
          <w:rStyle w:val="FootnoteReference"/>
        </w:rPr>
        <w:footnoteRef/>
      </w:r>
      <w:r>
        <w:t xml:space="preserve">
          <w:r>
            <w:t xml:space="preserve">
              <w:r>
                <w:t xml:space="preserve"> Cf. Koehler and Baumgartner, </w:t>
              </w:r>
              <w:r>
                <w:rPr>
                  <w:i/>
                </w:rPr>
                <w:t xml:space="preserve">HALOT </w:t>
              </w:r>
              <w:r>
                <w:rPr>
                  <w:i/>
                </w:rPr>
                <w:t xml:space="preserve">Hebrew and Aramaic Lexicon</w:t>
              </w:r>
              <w:r>
                <w:t xml:space="preserve">.</w:t>
              </w:r>
            </w:t>
          </w:r>
        </w:t>
      </w:r>
    </w:p>
  </w:footnote>
  <w:footnote w:id="17600">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16780">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8134">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390, 411.</w:t>
              </w:r>
            </w:t>
          </w:r>
        </w:t>
      </w:r>
    </w:p>
  </w:footnote>
  <w:footnote w:id="21461">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437-38.</w:t>
              </w:r>
            </w:t>
          </w:r>
        </w:t>
      </w:r>
    </w:p>
  </w:footnote>
  <w:footnote w:id="11306">
    <w:p>
      <w:pPr>
        <w:pStyle w:val="FootnoteText"/>
      </w:pPr>
      <w:r>
        <w:rPr>
          <w:rStyle w:val="FootnoteReference"/>
        </w:rPr>
        <w:footnoteRef/>
      </w:r>
      <w:r>
        <w:t xml:space="preserve">
          <w:r>
            <w:t xml:space="preserve">
              <w:r>
                <w:t xml:space="preserve"> Keil and Delitzsch, </w:t>
              </w:r>
              <w:r>
                <w:rPr>
                  <w:i/>
                </w:rPr>
                <w:t xml:space="preserve">Commentary on the Old Testament: Proverbs</w:t>
              </w:r>
              <w:r>
                <w:t xml:space="preserve">, 199-200.</w:t>
              </w:r>
            </w:t>
          </w:r>
        </w:t>
      </w:r>
    </w:p>
  </w:footnote>
  <w:footnote w:id="26125">
    <w:p>
      <w:pPr>
        <w:pStyle w:val="FootnoteText"/>
      </w:pPr>
      <w:r>
        <w:rPr>
          <w:rStyle w:val="FootnoteReference"/>
        </w:rPr>
        <w:footnoteRef/>
      </w:r>
      <w:r>
        <w:t xml:space="preserve">
          <w:r>
            <w:t xml:space="preserve">
              <w:r>
                <w:t xml:space="preserve"> B. Waltke, </w:t>
              </w:r>
              <w:r>
                <w:rPr>
                  <w:i/>
                </w:rPr>
                <w:t xml:space="preserve">The Book of Proverbs</w:t>
              </w:r>
              <w:r>
                <w:t xml:space="preserve"> [NICOT], 1:429n30.</w:t>
              </w:r>
            </w:t>
          </w:r>
        </w:t>
      </w:r>
    </w:p>
  </w:footnote>
  <w:footnote w:id="15464">
    <w:p>
      <w:pPr>
        <w:pStyle w:val="FootnoteText"/>
      </w:pPr>
      <w:r>
        <w:rPr>
          <w:rStyle w:val="FootnoteReference"/>
        </w:rPr>
        <w:footnoteRef/>
      </w:r>
      <w:r>
        <w:t xml:space="preserve">
          <w:r>
            <w:t xml:space="preserve">
              <w:r>
                <w:t xml:space="preserve"> See Keil &amp;amp; Delitzsch, </w:t>
              </w:r>
              <w:r>
                <w:rPr>
                  <w:i/>
                </w:rPr>
                <w:t xml:space="preserve">Commentary on the Old Testament: Proverbs, Ecclesiastes, Song of Solomon</w:t>
              </w:r>
              <w:r>
                <w:t xml:space="preserve">, 6:153-54.</w:t>
              </w:r>
            </w:t>
          </w:r>
        </w:t>
      </w:r>
    </w:p>
  </w:footnote>
  <w:footnote w:id="27303">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474.</w:t>
              </w:r>
            </w:t>
          </w:r>
        </w:t>
      </w:r>
    </w:p>
  </w:footnote>
  <w:footnote w:id="25915">
    <w:p>
      <w:pPr>
        <w:pStyle w:val="FootnoteText"/>
      </w:pPr>
      <w:r>
        <w:rPr>
          <w:rStyle w:val="FootnoteReference"/>
        </w:rPr>
        <w:footnoteRef/>
      </w:r>
      <w:r>
        <w:t xml:space="preserve">
          <w:r>
            <w:t xml:space="preserve">
              <w:r>
                <w:t xml:space="preserve"> Waltke, </w:t>
              </w:r>
              <w:r>
                <w:rPr>
                  <w:i/>
                </w:rPr>
                <w:t xml:space="preserve">Proverbs</w:t>
              </w:r>
              <w:r>
                <w:t xml:space="preserve"> [NICOT], 479.</w:t>
              </w:r>
            </w:t>
          </w:r>
        </w:t>
      </w:r>
    </w:p>
  </w:footnote>
  <w:footnote w:id="13372">
    <w:p>
      <w:pPr>
        <w:pStyle w:val="FootnoteText"/>
      </w:pPr>
      <w:r>
        <w:rPr>
          <w:rStyle w:val="FootnoteReference"/>
        </w:rPr>
        <w:footnoteRef/>
      </w:r>
      <w:r>
        <w:t xml:space="preserve">
          <w:r>
            <w:t xml:space="preserve">
              <w:r>
                <w:t xml:space="preserve"> </w:t>
              </w:r>
              <w:r>
                <w:rPr>
                  <w:i/>
                </w:rPr>
                <w:t xml:space="preserve">Brown-Driver-Briggs Hebrew English Lexicon</w:t>
              </w:r>
              <w:r>
                <w:t xml:space="preserve">.</w:t>
              </w:r>
            </w:t>
          </w:r>
        </w:t>
      </w:r>
    </w:p>
  </w:footnote>
  <w:footnote w:id="14170">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1792">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7380">
    <w:p>
      <w:pPr>
        <w:pStyle w:val="FootnoteText"/>
      </w:pPr>
      <w:r>
        <w:rPr>
          <w:rStyle w:val="FootnoteReference"/>
        </w:rPr>
        <w:footnoteRef/>
      </w:r>
      <w:r>
        <w:t xml:space="preserve">
          <w:r>
            <w:t xml:space="preserve">
              <w:r>
                <w:t xml:space="preserve"> Cf. Koehler and Baumgartner, </w:t>
              </w:r>
              <w:r>
                <w:rPr>
                  <w:i/>
                </w:rPr>
                <w:t xml:space="preserve">HALOT</w:t>
              </w:r>
              <w:r>
                <w:t xml:space="preserve">; Holladay, </w:t>
              </w:r>
              <w:r>
                <w:rPr>
                  <w:i/>
                </w:rPr>
                <w:t xml:space="preserve">Hebrew and Aramaic Lexicon</w:t>
              </w:r>
              <w:r>
                <w:t xml:space="preserve">.</w:t>
              </w:r>
            </w:t>
          </w:r>
        </w:t>
      </w:r>
    </w:p>
  </w:footnote>
  <w:footnote w:id="15393">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s.v. “tapeinosis,” 159.</w:t>
              </w:r>
            </w:t>
          </w:r>
        </w:t>
      </w:r>
    </w:p>
  </w:footnote>
  <w:footnote w:id="2704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t>
          </w:r>
        </w:t>
      </w:r>
    </w:p>
  </w:footnote>
  <w:footnote w:id="1245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5442">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563-65.</w:t>
              </w:r>
            </w:t>
          </w:r>
        </w:t>
      </w:r>
    </w:p>
  </w:footnote>
  <w:footnote w:id="21627">
    <w:p>
      <w:pPr>
        <w:pStyle w:val="FootnoteText"/>
      </w:pPr>
      <w:r>
        <w:rPr>
          <w:rStyle w:val="FootnoteReference"/>
        </w:rPr>
        <w:footnoteRef/>
      </w:r>
      <w:r>
        <w:t xml:space="preserve">
          <w:r>
            <w:t xml:space="preserve">
              <w:r>
                <w:t xml:space="preserve"> Waltke, </w:t>
              </w:r>
              <w:r>
                <w:rPr>
                  <w:i/>
                </w:rPr>
                <w:t xml:space="preserve">Proverbs</w:t>
              </w:r>
              <w:r>
                <w:t xml:space="preserve"> [NICOT], 564.</w:t>
              </w:r>
            </w:t>
          </w:r>
        </w:t>
      </w:r>
    </w:p>
  </w:footnote>
  <w:footnote w:id="2956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7323">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20724">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595.</w:t>
              </w:r>
            </w:t>
          </w:r>
        </w:t>
      </w:r>
    </w:p>
  </w:footnote>
  <w:footnote w:id="21163">
    <w:p>
      <w:pPr>
        <w:pStyle w:val="FootnoteText"/>
      </w:pPr>
      <w:r>
        <w:rPr>
          <w:rStyle w:val="FootnoteReference"/>
        </w:rPr>
        <w:footnoteRef/>
      </w:r>
      <w:r>
        <w:t xml:space="preserve">
          <w:r>
            <w:t xml:space="preserve">
              <w:r>
                <w:t xml:space="preserve"> William A. VanGemeren, gen. ed., </w:t>
              </w:r>
              <w:r>
                <w:rPr>
                  <w:i/>
                </w:rPr>
                <w:t xml:space="preserve">New International Dictionary of Theology and Exegesis: Old Testament</w:t>
              </w:r>
              <w:r>
                <w:t xml:space="preserve">.</w:t>
              </w:r>
            </w:t>
          </w:r>
        </w:t>
      </w:r>
    </w:p>
  </w:footnote>
  <w:footnote w:id="14506">
    <w:p>
      <w:pPr>
        <w:pStyle w:val="FootnoteText"/>
      </w:pPr>
      <w:r>
        <w:rPr>
          <w:rStyle w:val="FootnoteReference"/>
        </w:rPr>
        <w:footnoteRef/>
      </w:r>
      <w:r>
        <w:t xml:space="preserve">
          <w:r>
            <w:t xml:space="preserve">
              <w:r>
                <w:t xml:space="preserve"> C. H. Toy, </w:t>
              </w:r>
              <w:r>
                <w:rPr>
                  <w:i/>
                </w:rPr>
                <w:t xml:space="preserve">Proverbs</w:t>
              </w:r>
              <w:r>
                <w:t xml:space="preserve"> [ICC], 4-6.</w:t>
              </w:r>
            </w:t>
          </w:r>
        </w:t>
      </w:r>
    </w:p>
  </w:footnote>
  <w:footnote w:id="28716">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11-12.</w:t>
              </w:r>
            </w:t>
          </w:r>
        </w:t>
      </w:r>
    </w:p>
  </w:footnote>
  <w:footnote w:id="26753">
    <w:p>
      <w:pPr>
        <w:pStyle w:val="FootnoteText"/>
      </w:pPr>
      <w:r>
        <w:rPr>
          <w:rStyle w:val="FootnoteReference"/>
        </w:rPr>
        <w:footnoteRef/>
      </w:r>
      <w:r>
        <w:t xml:space="preserve">
          <w:r>
            <w:t xml:space="preserve">
              <w:r>
                <w:t xml:space="preserve"> Cf. Joel Freeman, </w:t>
              </w:r>
              <w:r>
                <w:rPr>
                  <w:i/>
                </w:rPr>
                <w:t xml:space="preserve">Kingdom Zoology</w:t>
              </w:r>
              <w:r>
                <w:t xml:space="preserve">, 57.</w:t>
              </w:r>
            </w:t>
          </w:r>
        </w:t>
      </w:r>
    </w:p>
  </w:footnote>
  <w:footnote w:id="25275">
    <w:p>
      <w:pPr>
        <w:pStyle w:val="FootnoteText"/>
      </w:pPr>
      <w:r>
        <w:rPr>
          <w:rStyle w:val="FootnoteReference"/>
        </w:rPr>
        <w:footnoteRef/>
      </w:r>
      <w:r>
        <w:t xml:space="preserve">
          <w:r>
            <w:t xml:space="preserve">
              <w:r>
                <w:t xml:space="preserve"> Bruce Waltke, </w:t>
              </w:r>
              <w:r>
                <w:rPr>
                  <w:i/>
                </w:rPr>
                <w:t xml:space="preserve">The Book of Proverbs: Chapters 16-31</w:t>
              </w:r>
              <w:r>
                <w:t xml:space="preserve"> [NICOT], 43.</w:t>
              </w:r>
            </w:t>
          </w:r>
        </w:t>
      </w:r>
    </w:p>
  </w:footnote>
  <w:footnote w:id="29192">
    <w:p>
      <w:pPr>
        <w:pStyle w:val="FootnoteText"/>
      </w:pPr>
      <w:r>
        <w:rPr>
          <w:rStyle w:val="FootnoteReference"/>
        </w:rPr>
        <w:footnoteRef/>
      </w:r>
      <w:r>
        <w:t xml:space="preserve">
          <w:r>
            <w:t xml:space="preserve">
              <w:r>
                <w:t xml:space="preserve"> Keil and Delitzsch, </w:t>
              </w:r>
              <w:r>
                <w:rPr>
                  <w:i/>
                </w:rPr>
                <w:t xml:space="preserve">Biblical Commentary on the Old Testament: Proverbs</w:t>
              </w:r>
              <w:r>
                <w:t xml:space="preserve">, 6:360-61.</w:t>
              </w:r>
            </w:t>
          </w:r>
        </w:t>
      </w:r>
    </w:p>
  </w:footnote>
  <w:footnote w:id="14631">
    <w:p>
      <w:pPr>
        <w:pStyle w:val="FootnoteText"/>
      </w:pPr>
      <w:r>
        <w:rPr>
          <w:rStyle w:val="FootnoteReference"/>
        </w:rPr>
        <w:footnoteRef/>
      </w:r>
      <w:r>
        <w:t xml:space="preserve">
          <w:r>
            <w:t xml:space="preserve">
              <w:r>
                <w:t xml:space="preserve"> Michael V. Fox, </w:t>
              </w:r>
              <w:r>
                <w:rPr>
                  <w:i/>
                </w:rPr>
                <w:t xml:space="preserve">Proverbs 10-31</w:t>
              </w:r>
              <w:r>
                <w:t xml:space="preserve"> [AB], 644.</w:t>
              </w:r>
            </w:t>
          </w:r>
        </w:t>
      </w:r>
    </w:p>
  </w:footnote>
  <w:footnote w:id="14343">
    <w:p>
      <w:pPr>
        <w:pStyle w:val="FootnoteText"/>
      </w:pPr>
      <w:r>
        <w:rPr>
          <w:rStyle w:val="FootnoteReference"/>
        </w:rPr>
        <w:footnoteRef/>
      </w:r>
      <w:r>
        <w:t xml:space="preserve">
          <w:r>
            <w:t xml:space="preserve">
              <w:r>
                <w:t xml:space="preserve"> Michael Fox, </w:t>
              </w:r>
              <w:r>
                <w:rPr>
                  <w:i/>
                </w:rPr>
                <w:t xml:space="preserve">Proverbs 10-31</w:t>
              </w:r>
              <w:r>
                <w:t xml:space="preserve"> [AB], 647-48; Robert Alter, </w:t>
              </w:r>
              <w:r>
                <w:rPr>
                  <w:i/>
                </w:rPr>
                <w:t xml:space="preserve">The Wisdom Books</w:t>
              </w:r>
              <w:r>
                <w:t xml:space="preserve">.</w:t>
              </w:r>
            </w:t>
          </w:r>
        </w:t>
      </w:r>
    </w:p>
  </w:footnote>
  <w:footnote w:id="25228">
    <w:p>
      <w:pPr>
        <w:pStyle w:val="FootnoteText"/>
      </w:pPr>
      <w:r>
        <w:rPr>
          <w:rStyle w:val="FootnoteReference"/>
        </w:rPr>
        <w:footnoteRef/>
      </w:r>
      <w:r>
        <w:t xml:space="preserve">
          <w:r>
            <w:t xml:space="preserve">
              <w:r>
                <w:t xml:space="preserve"> W. Holladay, </w:t>
              </w:r>
              <w:r>
                <w:rPr>
                  <w:i/>
                </w:rPr>
                <w:t xml:space="preserve">Hebrew and Aramaic Lexicon</w:t>
              </w:r>
              <w:r>
                <w:t xml:space="preserve">, 125.</w:t>
              </w:r>
            </w:t>
          </w:r>
        </w:t>
      </w:r>
    </w:p>
  </w:footnote>
  <w:footnote w:id="23082">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107.</w:t>
              </w:r>
            </w:t>
          </w:r>
        </w:t>
      </w:r>
    </w:p>
  </w:footnote>
  <w:footnote w:id="11098">
    <w:p>
      <w:pPr>
        <w:pStyle w:val="FootnoteText"/>
      </w:pPr>
      <w:r>
        <w:rPr>
          <w:rStyle w:val="FootnoteReference"/>
        </w:rPr>
        <w:footnoteRef/>
      </w:r>
      <w:r>
        <w:t xml:space="preserve">
          <w:r>
            <w:t xml:space="preserve">
              <w:r>
                <w:t xml:space="preserve"> W. Holladay, 125.</w:t>
              </w:r>
            </w:t>
          </w:r>
        </w:t>
      </w:r>
    </w:p>
  </w:footnote>
  <w:footnote w:id="11407">
    <w:p>
      <w:pPr>
        <w:pStyle w:val="FootnoteText"/>
      </w:pPr>
      <w:r>
        <w:rPr>
          <w:rStyle w:val="FootnoteReference"/>
        </w:rPr>
        <w:footnoteRef/>
      </w:r>
      <w:r>
        <w:t xml:space="preserve">
          <w:r>
            <w:t xml:space="preserve">
              <w:r>
                <w:t xml:space="preserve"> Waltke, </w:t>
              </w:r>
              <w:r>
                <w:rPr>
                  <w:i/>
                </w:rPr>
                <w:t xml:space="preserve">Proverbs: Chapters 15-31</w:t>
              </w:r>
              <w:r>
                <w:t xml:space="preserve"> [NICOT], 111.</w:t>
              </w:r>
            </w:t>
          </w:r>
        </w:t>
      </w:r>
    </w:p>
  </w:footnote>
  <w:footnote w:id="15234">
    <w:p>
      <w:pPr>
        <w:pStyle w:val="FootnoteText"/>
      </w:pPr>
      <w:r>
        <w:rPr>
          <w:rStyle w:val="FootnoteReference"/>
        </w:rPr>
        <w:footnoteRef/>
      </w:r>
      <w:r>
        <w:t xml:space="preserve">
          <w:r>
            <w:t xml:space="preserve">
              <w:r>
                <w:t xml:space="preserve"> Waltke, </w:t>
              </w:r>
              <w:r>
                <w:rPr>
                  <w:i/>
                </w:rPr>
                <w:t xml:space="preserve">Proverbs: Chapters 15-31</w:t>
              </w:r>
              <w:r>
                <w:t xml:space="preserve"> [NICOT], 113.</w:t>
              </w:r>
            </w:t>
          </w:r>
        </w:t>
      </w:r>
    </w:p>
  </w:footnote>
  <w:footnote w:id="10205">
    <w:p>
      <w:pPr>
        <w:pStyle w:val="FootnoteText"/>
      </w:pPr>
      <w:r>
        <w:rPr>
          <w:rStyle w:val="FootnoteReference"/>
        </w:rPr>
        <w:footnoteRef/>
      </w:r>
      <w:r>
        <w:t xml:space="preserve">
          <w:r>
            <w:t xml:space="preserve">
              <w:r>
                <w:t xml:space="preserve"> Cf. Waltke, </w:t>
              </w:r>
              <w:r>
                <w:rPr>
                  <w:i/>
                </w:rPr>
                <w:t xml:space="preserve">Proverbs</w:t>
              </w:r>
              <w:r>
                <w:t xml:space="preserve"> [NICOT], 113.</w:t>
              </w:r>
            </w:t>
          </w:r>
        </w:t>
      </w:r>
    </w:p>
  </w:footnote>
  <w:footnote w:id="25892">
    <w:p>
      <w:pPr>
        <w:pStyle w:val="FootnoteText"/>
      </w:pPr>
      <w:r>
        <w:rPr>
          <w:rStyle w:val="FootnoteReference"/>
        </w:rPr>
        <w:footnoteRef/>
      </w:r>
      <w:r>
        <w:t xml:space="preserve">
          <w:r>
            <w:t xml:space="preserve">
              <w:r>
                <w:t xml:space="preserve"> Cf. </w:t>
              </w:r>
              <w:r>
                <w:rPr>
                  <w:i/>
                </w:rPr>
                <w:t xml:space="preserve">Brown-Driver Briggs Hebrew and English Lexicon</w:t>
              </w:r>
              <w:r>
                <w:t xml:space="preserve">; Waltke,</w:t>
              </w:r>
              <w:r>
                <w:rPr>
                  <w:i/>
                </w:rPr>
                <w:t xml:space="preserve"> Proverbs</w:t>
              </w:r>
              <w:r>
                <w:t xml:space="preserve"> [NICOT], 114-15.</w:t>
              </w:r>
            </w:t>
          </w:r>
        </w:t>
      </w:r>
    </w:p>
  </w:footnote>
  <w:footnote w:id="19764">
    <w:p>
      <w:pPr>
        <w:pStyle w:val="FootnoteText"/>
      </w:pPr>
      <w:r>
        <w:rPr>
          <w:rStyle w:val="FootnoteReference"/>
        </w:rPr>
        <w:footnoteRef/>
      </w:r>
      <w:r>
        <w:t xml:space="preserve">
          <w:r>
            <w:t xml:space="preserve">
              <w:r>
                <w:t xml:space="preserve"> Waltke, </w:t>
              </w:r>
              <w:r>
                <w:rPr>
                  <w:i/>
                </w:rPr>
                <w:t xml:space="preserve">Proverbs: Chapters 15-31</w:t>
              </w:r>
              <w:r>
                <w:t xml:space="preserve"> [NICOT], 126.</w:t>
              </w:r>
            </w:t>
          </w:r>
        </w:t>
      </w:r>
    </w:p>
  </w:footnote>
  <w:footnote w:id="20062">
    <w:p>
      <w:pPr>
        <w:pStyle w:val="FootnoteText"/>
      </w:pPr>
      <w:r>
        <w:rPr>
          <w:rStyle w:val="FootnoteReference"/>
        </w:rPr>
        <w:footnoteRef/>
      </w:r>
      <w:r>
        <w:t xml:space="preserve">
          <w:r>
            <w:t xml:space="preserve">
              <w:r>
                <w:t xml:space="preserve"> W. VanGemeren, </w:t>
              </w:r>
              <w:r>
                <w:rPr>
                  <w:i/>
                </w:rPr>
                <w:t xml:space="preserve">New International Dictionary of Old Testament Theology and Exegesis</w:t>
              </w:r>
              <w:r>
                <w:t xml:space="preserve">.</w:t>
              </w:r>
            </w:t>
          </w:r>
        </w:t>
      </w:r>
    </w:p>
  </w:footnote>
  <w:footnote w:id="14601">
    <w:p>
      <w:pPr>
        <w:pStyle w:val="FootnoteText"/>
      </w:pPr>
      <w:r>
        <w:rPr>
          <w:rStyle w:val="FootnoteReference"/>
        </w:rPr>
        <w:footnoteRef/>
      </w:r>
      <w:r>
        <w:t xml:space="preserve">
          <w:r>
            <w:t xml:space="preserve">
              <w:r>
                <w:t xml:space="preserve"> Michael Homan, “Did the Ancient Israelites Drink Beer?,” Biblical Archaeological Review, Sept./Oct. 2010.</w:t>
              </w:r>
            </w:t>
          </w:r>
        </w:t>
      </w:r>
    </w:p>
  </w:footnote>
  <w:footnote w:id="22853">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129.</w:t>
              </w:r>
            </w:t>
          </w:r>
        </w:t>
      </w:r>
    </w:p>
  </w:footnote>
  <w:footnote w:id="2769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24793">
    <w:p>
      <w:pPr>
        <w:pStyle w:val="FootnoteText"/>
      </w:pPr>
      <w:r>
        <w:rPr>
          <w:rStyle w:val="FootnoteReference"/>
        </w:rPr>
        <w:footnoteRef/>
      </w:r>
      <w:r>
        <w:t xml:space="preserve">
          <w:r>
            <w:t xml:space="preserve">
              <w:r>
                <w:t xml:space="preserve"> Brown-Driver-Briggs </w:t>
              </w:r>
              <w:r>
                <w:rPr>
                  <w:i/>
                </w:rPr>
                <w:t xml:space="preserve">Hebrew and English Lexicon</w:t>
              </w:r>
              <w:r>
                <w:t xml:space="preserve">.</w:t>
              </w:r>
            </w:t>
          </w:r>
        </w:t>
      </w:r>
    </w:p>
  </w:footnote>
  <w:footnote w:id="24861">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177-78.</w:t>
              </w:r>
            </w:t>
          </w:r>
        </w:t>
      </w:r>
    </w:p>
  </w:footnote>
  <w:footnote w:id="22446">
    <w:p>
      <w:pPr>
        <w:pStyle w:val="FootnoteText"/>
      </w:pPr>
      <w:r>
        <w:rPr>
          <w:rStyle w:val="FootnoteReference"/>
        </w:rPr>
        <w:footnoteRef/>
      </w:r>
      <w:r>
        <w:t xml:space="preserve">
          <w:r>
            <w:t xml:space="preserve">
              <w:r>
                <w:t xml:space="preserve"> Cf. Michael Fox, </w:t>
              </w:r>
              <w:r>
                <w:rPr>
                  <w:i/>
                </w:rPr>
                <w:t xml:space="preserve">Proverbs 10-31</w:t>
              </w:r>
              <w:r>
                <w:t xml:space="preserve"> [AB], 684-85.</w:t>
              </w:r>
            </w:t>
          </w:r>
        </w:t>
      </w:r>
    </w:p>
  </w:footnote>
  <w:footnote w:id="30620">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24588">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7865">
    <w:p>
      <w:pPr>
        <w:pStyle w:val="FootnoteText"/>
      </w:pPr>
      <w:r>
        <w:rPr>
          <w:rStyle w:val="FootnoteReference"/>
        </w:rPr>
        <w:footnoteRef/>
      </w:r>
      <w:r>
        <w:t xml:space="preserve">
          <w:r>
            <w:t xml:space="preserve">
              <w:r>
                <w:t xml:space="preserve"> Michael Fox, </w:t>
              </w:r>
              <w:r>
                <w:rPr>
                  <w:i/>
                </w:rPr>
                <w:t xml:space="preserve">Proverbs 10-31</w:t>
              </w:r>
              <w:r>
                <w:t xml:space="preserve"> [AB], 720.</w:t>
              </w:r>
            </w:t>
          </w:r>
        </w:t>
      </w:r>
    </w:p>
  </w:footnote>
  <w:footnote w:id="29100">
    <w:p>
      <w:pPr>
        <w:pStyle w:val="FootnoteText"/>
      </w:pPr>
      <w:r>
        <w:rPr>
          <w:rStyle w:val="FootnoteReference"/>
        </w:rPr>
        <w:footnoteRef/>
      </w:r>
      <w:r>
        <w:t xml:space="preserve">
          <w:r>
            <w:t xml:space="preserve">
              <w:r>
                <w:t xml:space="preserve"> Cf. VanGemeren, </w:t>
              </w:r>
              <w:r>
                <w:rPr>
                  <w:i/>
                </w:rPr>
                <w:t xml:space="preserve">NIDOTTE</w:t>
              </w:r>
              <w:r>
                <w:t xml:space="preserve">, </w:t>
              </w:r>
              <w:r>
                <w:rPr>
                  <w:i/>
                </w:rPr>
                <w:t xml:space="preserve">New International Dictionary of Old Testament Theology &amp;amp; Exegesis</w:t>
              </w:r>
              <w:r>
                <w:t xml:space="preserve">.</w:t>
              </w:r>
            </w:t>
          </w:r>
        </w:t>
      </w:r>
    </w:p>
  </w:footnote>
  <w:footnote w:id="21906">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17444">
    <w:p>
      <w:pPr>
        <w:pStyle w:val="FootnoteText"/>
      </w:pPr>
      <w:r>
        <w:rPr>
          <w:rStyle w:val="FootnoteReference"/>
        </w:rPr>
        <w:footnoteRef/>
      </w:r>
      <w:r>
        <w:t xml:space="preserve">
          <w:r>
            <w:t xml:space="preserve">
              <w:r>
                <w:t xml:space="preserve"> Bruce Waltke, </w:t>
              </w:r>
              <w:r>
                <w:rPr>
                  <w:i/>
                </w:rPr>
                <w:t xml:space="preserve">Proverbs: Chapters 15-31</w:t>
              </w:r>
              <w:r>
                <w:t xml:space="preserve"> [NICOT], 274.</w:t>
              </w:r>
            </w:t>
          </w:r>
        </w:t>
      </w:r>
    </w:p>
  </w:footnote>
  <w:footnote w:id="18386">
    <w:p>
      <w:pPr>
        <w:pStyle w:val="FootnoteText"/>
      </w:pPr>
      <w:r>
        <w:rPr>
          <w:rStyle w:val="FootnoteReference"/>
        </w:rPr>
        <w:footnoteRef/>
      </w:r>
      <w:r>
        <w:t xml:space="preserve">
          <w:r>
            <w:t xml:space="preserve">
              <w:r>
                <w:t xml:space="preserve"> Michael V. Fox, </w:t>
              </w:r>
              <w:r>
                <w:rPr>
                  <w:i/>
                </w:rPr>
                <w:t xml:space="preserve">Proverbs 10-31</w:t>
              </w:r>
              <w:r>
                <w:t xml:space="preserve"> [AB], 751.</w:t>
              </w:r>
            </w:t>
          </w:r>
        </w:t>
      </w:r>
    </w:p>
  </w:footnote>
  <w:footnote w:id="15261">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29274">
    <w:p>
      <w:pPr>
        <w:pStyle w:val="FootnoteText"/>
      </w:pPr>
      <w:r>
        <w:rPr>
          <w:rStyle w:val="FootnoteReference"/>
        </w:rPr>
        <w:footnoteRef/>
      </w:r>
      <w:r>
        <w:t xml:space="preserve">
          <w:r>
            <w:t xml:space="preserve">
              <w:r>
                <w:t xml:space="preserve"> Waltke, </w:t>
              </w:r>
              <w:r>
                <w:rPr>
                  <w:i/>
                </w:rPr>
                <w:t xml:space="preserve">Proverbs: Chapters 15-31</w:t>
              </w:r>
              <w:r>
                <w:t xml:space="preserve"> [NICOT], 353.</w:t>
              </w:r>
            </w:t>
          </w:r>
        </w:t>
      </w:r>
    </w:p>
  </w:footnote>
  <w:footnote w:id="32502">
    <w:p>
      <w:pPr>
        <w:pStyle w:val="FootnoteText"/>
      </w:pPr>
      <w:r>
        <w:rPr>
          <w:rStyle w:val="FootnoteReference"/>
        </w:rPr>
        <w:footnoteRef/>
      </w:r>
      <w:r>
        <w:t xml:space="preserve">
          <w:r>
            <w:t xml:space="preserve">
              <w:r>
                <w:t xml:space="preserve"> Daniel C. Snell, </w:t>
              </w:r>
              <w:r>
                <w:rPr>
                  <w:i/>
                </w:rPr>
                <w:t xml:space="preserve">Vetus Testamentum</w:t>
              </w:r>
              <w:r>
                <w:t xml:space="preserve"> (1991), 41:350-356.</w:t>
              </w:r>
            </w:t>
          </w:r>
        </w:t>
      </w:r>
    </w:p>
  </w:footnote>
  <w:footnote w:id="10363">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18899">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804, “amphibologia.”</w:t>
              </w:r>
            </w:t>
          </w:r>
        </w:t>
      </w:r>
    </w:p>
  </w:footnote>
  <w:footnote w:id="13119">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383-84.</w:t>
              </w:r>
            </w:t>
          </w:r>
        </w:t>
      </w:r>
    </w:p>
  </w:footnote>
  <w:footnote w:id="26837">
    <w:p>
      <w:pPr>
        <w:pStyle w:val="FootnoteText"/>
      </w:pPr>
      <w:r>
        <w:rPr>
          <w:rStyle w:val="FootnoteReference"/>
        </w:rPr>
        <w:footnoteRef/>
      </w:r>
      <w:r>
        <w:t xml:space="preserve">
          <w:r>
            <w:t xml:space="preserve">
              <w:r>
                <w:t xml:space="preserve"> Michael Fox, </w:t>
              </w:r>
              <w:r>
                <w:rPr>
                  <w:i/>
                </w:rPr>
                <w:t xml:space="preserve">Proverbs 10-31</w:t>
              </w:r>
              <w:r>
                <w:t xml:space="preserve"> [AB], 813-14.</w:t>
              </w:r>
            </w:t>
          </w:r>
        </w:t>
      </w:r>
    </w:p>
  </w:footnote>
  <w:footnote w:id="30816">
    <w:p>
      <w:pPr>
        <w:pStyle w:val="FootnoteText"/>
      </w:pPr>
      <w:r>
        <w:rPr>
          <w:rStyle w:val="FootnoteReference"/>
        </w:rPr>
        <w:footnoteRef/>
      </w:r>
      <w:r>
        <w:t xml:space="preserve">
          <w:r>
            <w:t xml:space="preserve">
              <w:r>
                <w:t xml:space="preserve"> Ginsburg, </w:t>
              </w:r>
              <w:r>
                <w:rPr>
                  <w:i/>
                </w:rPr>
                <w:t xml:space="preserve">Mishlei/Proverbs</w:t>
              </w:r>
              <w:r>
                <w:t xml:space="preserve">, ArtScroll Tanach Series.</w:t>
              </w:r>
            </w:t>
          </w:r>
        </w:t>
      </w:r>
    </w:p>
  </w:footnote>
  <w:footnote w:id="32680">
    <w:p>
      <w:pPr>
        <w:pStyle w:val="FootnoteText"/>
      </w:pPr>
      <w:r>
        <w:rPr>
          <w:rStyle w:val="FootnoteReference"/>
        </w:rPr>
        <w:footnoteRef/>
      </w:r>
      <w:r>
        <w:t xml:space="preserve">
          <w:r>
            <w:t xml:space="preserve">
              <w:r>
                <w:t xml:space="preserve"> Waltke, </w:t>
              </w:r>
              <w:r>
                <w:rPr>
                  <w:i/>
                </w:rPr>
                <w:t xml:space="preserve">The Book of Proverbs 15-31</w:t>
              </w:r>
              <w:r>
                <w:t xml:space="preserve"> [NICOT], 387.</w:t>
              </w:r>
            </w:t>
          </w:r>
        </w:t>
      </w:r>
    </w:p>
  </w:footnote>
  <w:footnote w:id="26316">
    <w:p>
      <w:pPr>
        <w:pStyle w:val="FootnoteText"/>
      </w:pPr>
      <w:r>
        <w:rPr>
          <w:rStyle w:val="FootnoteReference"/>
        </w:rPr>
        <w:footnoteRef/>
      </w:r>
      <w:r>
        <w:t xml:space="preserve">
          <w:r>
            <w:t xml:space="preserve">
              <w:r>
                <w:t xml:space="preserve"> Waltke, </w:t>
              </w:r>
              <w:r>
                <w:rPr>
                  <w:i/>
                </w:rPr>
                <w:t xml:space="preserve">Proverbs 15-31</w:t>
              </w:r>
            </w:t>
          </w:r>
        </w:t>
      </w:r>
    </w:p>
  </w:footnote>
  <w:footnote w:id="25546">
    <w:p>
      <w:pPr>
        <w:pStyle w:val="FootnoteText"/>
      </w:pPr>
      <w:r>
        <w:rPr>
          <w:rStyle w:val="FootnoteReference"/>
        </w:rPr>
        <w:footnoteRef/>
      </w:r>
      <w:r>
        <w:t xml:space="preserve">
          <w:r>
            <w:t xml:space="preserve">
              <w:r>
                <w:t xml:space="preserve"> Waltke, </w:t>
              </w:r>
              <w:r>
                <w:rPr>
                  <w:i/>
                </w:rPr>
                <w:t xml:space="preserve">Proverbs</w:t>
              </w:r>
              <w:r>
                <w:t xml:space="preserve">, 427.</w:t>
              </w:r>
            </w:t>
          </w:r>
        </w:t>
      </w:r>
    </w:p>
  </w:footnote>
  <w:footnote w:id="27499">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9252">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4546">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4577">
    <w:p>
      <w:pPr>
        <w:pStyle w:val="FootnoteText"/>
      </w:pPr>
      <w:r>
        <w:rPr>
          <w:rStyle w:val="FootnoteReference"/>
        </w:rPr>
        <w:footnoteRef/>
      </w:r>
      <w:r>
        <w:t xml:space="preserve">
          <w:r>
            <w:t xml:space="preserve">
              <w:r>
                <w:t xml:space="preserve"> Bruce Waltke, </w:t>
              </w:r>
              <w:r>
                <w:rPr>
                  <w:i/>
                </w:rPr>
                <w:t xml:space="preserve">The Book of Proverbs: Chapters 15-31</w:t>
              </w:r>
              <w:r>
                <w:t xml:space="preserve"> [NICOT], 473-474.</w:t>
              </w:r>
            </w:t>
          </w:r>
        </w:t>
      </w:r>
    </w:p>
  </w:footnote>
  <w:footnote w:id="30813">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22839">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4127">
    <w:p>
      <w:pPr>
        <w:pStyle w:val="FootnoteText"/>
      </w:pPr>
      <w:r>
        <w:rPr>
          <w:rStyle w:val="FootnoteReference"/>
        </w:rPr>
        <w:footnoteRef/>
      </w:r>
      <w:r>
        <w:t xml:space="preserve">
          <w:r>
            <w:t xml:space="preserve">
              <w:r>
                <w:t xml:space="preserve"> Quoted in R. Murphy, </w:t>
              </w:r>
              <w:r>
                <w:rPr>
                  <w:i/>
                </w:rPr>
                <w:t xml:space="preserve">Proverbs</w:t>
              </w:r>
              <w:r>
                <w:t xml:space="preserve"> [WBC], 246.</w:t>
              </w:r>
            </w:t>
          </w:r>
        </w:t>
      </w:r>
    </w:p>
  </w:footnote>
  <w:footnote w:id="32295">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TDOT</w:t>
              </w:r>
              <w:r>
                <w:t xml:space="preserve">.</w:t>
              </w:r>
            </w:t>
          </w:r>
        </w:t>
      </w:r>
    </w:p>
  </w:footnote>
  <w:footnote w:id="28593">
    <w:p>
      <w:pPr>
        <w:pStyle w:val="FootnoteText"/>
      </w:pPr>
      <w:r>
        <w:rPr>
          <w:rStyle w:val="FootnoteReference"/>
        </w:rPr>
        <w:footnoteRef/>
      </w:r>
      <w:r>
        <w:t xml:space="preserve">
          <w:r>
            <w:t xml:space="preserve">
              <w:r>
                <w:t xml:space="preserve"> Cf. </w:t>
              </w:r>
              <w:r>
                <w:rPr>
                  <w:i/>
                </w:rPr>
                <w:t xml:space="preserve">NIDOTTE</w:t>
              </w:r>
              <w:r>
                <w:t xml:space="preserve">; </w:t>
              </w:r>
              <w:r>
                <w:rPr>
                  <w:i/>
                </w:rPr>
                <w:t xml:space="preserve">TWOT</w:t>
              </w:r>
              <w:r>
                <w:t xml:space="preserve">.</w:t>
              </w:r>
            </w:t>
          </w:r>
        </w:t>
      </w:r>
    </w:p>
  </w:footnote>
  <w:footnote w:id="27247">
    <w:p>
      <w:pPr>
        <w:pStyle w:val="FootnoteText"/>
      </w:pPr>
      <w:r>
        <w:rPr>
          <w:rStyle w:val="FootnoteReference"/>
        </w:rPr>
        <w:footnoteRef/>
      </w:r>
      <w:r>
        <w:t xml:space="preserve">
          <w:r>
            <w:t xml:space="preserve">
              <w:r>
                <w:t xml:space="preserve"> See D. Garrett, </w:t>
              </w:r>
              <w:r>
                <w:rPr>
                  <w:i/>
                </w:rPr>
                <w:t xml:space="preserve">Proverbs, Ecclesiastes, Song of Songs</w:t>
              </w:r>
              <w:r>
                <w:t xml:space="preserve"> [NAC], 250.</w:t>
              </w:r>
            </w:t>
          </w:r>
        </w:t>
      </w:r>
    </w:p>
  </w:footnote>
  <w:footnote w:id="31956">
    <w:p>
      <w:pPr>
        <w:pStyle w:val="FootnoteText"/>
      </w:pPr>
      <w:r>
        <w:rPr>
          <w:rStyle w:val="FootnoteReference"/>
        </w:rPr>
        <w:footnoteRef/>
      </w:r>
      <w:r>
        <w:t xml:space="preserve">
          <w:r>
            <w:t xml:space="preserve">
              <w:r>
                <w:t xml:space="preserve"> Waltke, </w:t>
              </w:r>
              <w:r>
                <w:rPr>
                  <w:i/>
                </w:rPr>
                <w:t xml:space="preserve">Proverbs</w:t>
              </w:r>
              <w:r>
                <w:t xml:space="preserve"> [NICOT], 512n85, 530.</w:t>
              </w:r>
            </w:t>
          </w:r>
        </w:t>
      </w:r>
    </w:p>
  </w:footnote>
  <w:footnote w:id="18082">
    <w:p>
      <w:pPr>
        <w:pStyle w:val="FootnoteText"/>
      </w:pPr>
      <w:r>
        <w:rPr>
          <w:rStyle w:val="FootnoteReference"/>
        </w:rPr>
        <w:footnoteRef/>
      </w:r>
      <w:r>
        <w:t xml:space="preserve">
          <w:r>
            <w:t xml:space="preserve">
              <w:r>
                <w:t xml:space="preserve"> See Waltke, </w:t>
              </w:r>
              <w:r>
                <w:rPr>
                  <w:i/>
                </w:rPr>
                <w:t xml:space="preserve">Proverbs</w:t>
              </w:r>
              <w:r>
                <w:t xml:space="preserve"> [NICOT], 532.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742523">
    <w:multiLevelType w:val="hybridMultilevel"/>
    <w:lvl w:ilvl="0" w:tplc="77048350">
      <w:start w:val="1"/>
      <w:numFmt w:val="decimal"/>
      <w:lvlText w:val="%1."/>
      <w:lvlJc w:val="left"/>
      <w:pPr>
        <w:ind w:left="720" w:hanging="360"/>
      </w:pPr>
    </w:lvl>
    <w:lvl w:ilvl="1" w:tplc="77048350" w:tentative="1">
      <w:start w:val="1"/>
      <w:numFmt w:val="lowerLetter"/>
      <w:lvlText w:val="%2."/>
      <w:lvlJc w:val="left"/>
      <w:pPr>
        <w:ind w:left="1440" w:hanging="360"/>
      </w:pPr>
    </w:lvl>
    <w:lvl w:ilvl="2" w:tplc="77048350" w:tentative="1">
      <w:start w:val="1"/>
      <w:numFmt w:val="lowerRoman"/>
      <w:lvlText w:val="%3."/>
      <w:lvlJc w:val="right"/>
      <w:pPr>
        <w:ind w:left="2160" w:hanging="180"/>
      </w:pPr>
    </w:lvl>
    <w:lvl w:ilvl="3" w:tplc="77048350" w:tentative="1">
      <w:start w:val="1"/>
      <w:numFmt w:val="decimal"/>
      <w:lvlText w:val="%4."/>
      <w:lvlJc w:val="left"/>
      <w:pPr>
        <w:ind w:left="2880" w:hanging="360"/>
      </w:pPr>
    </w:lvl>
    <w:lvl w:ilvl="4" w:tplc="77048350" w:tentative="1">
      <w:start w:val="1"/>
      <w:numFmt w:val="lowerLetter"/>
      <w:lvlText w:val="%5."/>
      <w:lvlJc w:val="left"/>
      <w:pPr>
        <w:ind w:left="3600" w:hanging="360"/>
      </w:pPr>
    </w:lvl>
    <w:lvl w:ilvl="5" w:tplc="77048350" w:tentative="1">
      <w:start w:val="1"/>
      <w:numFmt w:val="lowerRoman"/>
      <w:lvlText w:val="%6."/>
      <w:lvlJc w:val="right"/>
      <w:pPr>
        <w:ind w:left="4320" w:hanging="180"/>
      </w:pPr>
    </w:lvl>
    <w:lvl w:ilvl="6" w:tplc="77048350" w:tentative="1">
      <w:start w:val="1"/>
      <w:numFmt w:val="decimal"/>
      <w:lvlText w:val="%7."/>
      <w:lvlJc w:val="left"/>
      <w:pPr>
        <w:ind w:left="5040" w:hanging="360"/>
      </w:pPr>
    </w:lvl>
    <w:lvl w:ilvl="7" w:tplc="77048350" w:tentative="1">
      <w:start w:val="1"/>
      <w:numFmt w:val="lowerLetter"/>
      <w:lvlText w:val="%8."/>
      <w:lvlJc w:val="left"/>
      <w:pPr>
        <w:ind w:left="5760" w:hanging="360"/>
      </w:pPr>
    </w:lvl>
    <w:lvl w:ilvl="8" w:tplc="77048350" w:tentative="1">
      <w:start w:val="1"/>
      <w:numFmt w:val="lowerRoman"/>
      <w:lvlText w:val="%9."/>
      <w:lvlJc w:val="right"/>
      <w:pPr>
        <w:ind w:left="6480" w:hanging="180"/>
      </w:pPr>
    </w:lvl>
  </w:abstractNum>
  <w:abstractNum w:abstractNumId="68742522">
    <w:multiLevelType w:val="hybridMultilevel"/>
    <w:lvl w:ilvl="0" w:tplc="73763667">
      <w:start w:val="1"/>
      <w:numFmt w:val="decimal"/>
      <w:lvlText w:val="%1."/>
      <w:lvlJc w:val="left"/>
      <w:pPr>
        <w:ind w:left="720" w:hanging="360"/>
      </w:pPr>
    </w:lvl>
    <w:lvl w:ilvl="1" w:tplc="73763667" w:tentative="1">
      <w:start w:val="1"/>
      <w:numFmt w:val="lowerLetter"/>
      <w:lvlText w:val="%2."/>
      <w:lvlJc w:val="left"/>
      <w:pPr>
        <w:ind w:left="1440" w:hanging="360"/>
      </w:pPr>
    </w:lvl>
    <w:lvl w:ilvl="2" w:tplc="73763667" w:tentative="1">
      <w:start w:val="1"/>
      <w:numFmt w:val="lowerRoman"/>
      <w:lvlText w:val="%3."/>
      <w:lvlJc w:val="right"/>
      <w:pPr>
        <w:ind w:left="2160" w:hanging="180"/>
      </w:pPr>
    </w:lvl>
    <w:lvl w:ilvl="3" w:tplc="73763667" w:tentative="1">
      <w:start w:val="1"/>
      <w:numFmt w:val="decimal"/>
      <w:lvlText w:val="%4."/>
      <w:lvlJc w:val="left"/>
      <w:pPr>
        <w:ind w:left="2880" w:hanging="360"/>
      </w:pPr>
    </w:lvl>
    <w:lvl w:ilvl="4" w:tplc="73763667" w:tentative="1">
      <w:start w:val="1"/>
      <w:numFmt w:val="lowerLetter"/>
      <w:lvlText w:val="%5."/>
      <w:lvlJc w:val="left"/>
      <w:pPr>
        <w:ind w:left="3600" w:hanging="360"/>
      </w:pPr>
    </w:lvl>
    <w:lvl w:ilvl="5" w:tplc="73763667" w:tentative="1">
      <w:start w:val="1"/>
      <w:numFmt w:val="lowerRoman"/>
      <w:lvlText w:val="%6."/>
      <w:lvlJc w:val="right"/>
      <w:pPr>
        <w:ind w:left="4320" w:hanging="180"/>
      </w:pPr>
    </w:lvl>
    <w:lvl w:ilvl="6" w:tplc="73763667" w:tentative="1">
      <w:start w:val="1"/>
      <w:numFmt w:val="decimal"/>
      <w:lvlText w:val="%7."/>
      <w:lvlJc w:val="left"/>
      <w:pPr>
        <w:ind w:left="5040" w:hanging="360"/>
      </w:pPr>
    </w:lvl>
    <w:lvl w:ilvl="7" w:tplc="73763667" w:tentative="1">
      <w:start w:val="1"/>
      <w:numFmt w:val="lowerLetter"/>
      <w:lvlText w:val="%8."/>
      <w:lvlJc w:val="left"/>
      <w:pPr>
        <w:ind w:left="5760" w:hanging="360"/>
      </w:pPr>
    </w:lvl>
    <w:lvl w:ilvl="8" w:tplc="73763667" w:tentative="1">
      <w:start w:val="1"/>
      <w:numFmt w:val="lowerRoman"/>
      <w:lvlText w:val="%9."/>
      <w:lvlJc w:val="right"/>
      <w:pPr>
        <w:ind w:left="6480" w:hanging="180"/>
      </w:pPr>
    </w:lvl>
  </w:abstractNum>
  <w:abstractNum w:abstractNumId="8068">
    <w:multiLevelType w:val="hybridMultilevel"/>
    <w:lvl w:ilvl="0" w:tplc="269001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068">
    <w:abstractNumId w:val="8068"/>
  </w:num>
  <w:num w:numId="68742522">
    <w:abstractNumId w:val="68742522"/>
  </w:num>
  <w:num w:numId="68742523">
    <w:abstractNumId w:val="687425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2840089" Type="http://schemas.openxmlformats.org/officeDocument/2006/relationships/numbering" Target="numbering.xml"/><Relationship Id="rId596207101" Type="http://schemas.openxmlformats.org/officeDocument/2006/relationships/comments" Target="comments.xml"/><Relationship Id="rId58876862ad576b3d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