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25825"/>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FootnoteReference"/>
        </w:rPr>
        <w:footnoteReference w:id="25653"/>
      </w:r>
      <w:r>
        <w:rPr/>
        <w:t xml:space="preserve"> The Masoretic Hebrew text seems corrupted, and many versions translate the Hebrew of the MT as something like “branding instead of beauty” (ESV).</w:t>
      </w:r>
      <w:r>
        <w:rPr>
          <w:rStyle w:val="FootnoteReference"/>
        </w:rPr>
        <w:footnoteReference w:id="14186"/>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FootnoteReference"/>
        </w:rPr>
        <w:footnoteReference w:id="29860"/>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FootnoteReference"/>
        </w:rPr>
        <w:footnoteReference w:id="12215"/>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FootnoteReference"/>
        </w:rPr>
        <w:footnoteReference w:id="11078"/>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FootnoteReference"/>
        </w:rPr>
        <w:footnoteReference w:id="14008"/>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FootnoteReference"/>
        </w:rPr>
        <w:footnoteReference w:id="30736"/>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FootnoteReference"/>
        </w:rPr>
        <w:footnoteReference w:id="13433"/>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FootnoteReference"/>
        </w:rPr>
        <w:footnoteReference w:id="32758"/>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FootnoteReference"/>
        </w:rPr>
        <w:footnoteReference w:id="11692"/>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FootnoteReference"/>
        </w:rPr>
        <w:footnoteReference w:id="22895"/>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which is an honorific name containing a description about or reference to God that is given to a person, but does not actually describe the person bearing the name.</w:t>
      </w:r>
      <w:r>
        <w:rPr>
          <w:rStyle w:val="FootnoteReference"/>
        </w:rPr>
        <w:footnoteReference w:id="16559"/>
      </w:r>
      <w:r>
        <w:rPr/>
        <w:t xml:space="preserve">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FootnoteReference"/>
        </w:rPr>
        <w:footnoteReference w:id="25012"/>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FootnoteReference"/>
        </w:rPr>
        <w:footnoteReference w:id="25597"/>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FootnoteReference"/>
        </w:rPr>
        <w:footnoteReference w:id="26421"/>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FootnoteReference"/>
        </w:rPr>
        <w:footnoteReference w:id="12219"/>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FootnoteReference"/>
        </w:rPr>
        <w:footnoteReference w:id="10495"/>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FootnoteReference"/>
        </w:rPr>
        <w:footnoteReference w:id="32665"/>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in Hebrew is literally, “Everlasting Father, Ruler of Peace,” but because it is a theophoric name, often the translator must add a “to be” verb into the sentence to make sense of the name.</w:t>
      </w:r>
      <w:r>
        <w:rPr>
          <w:rStyle w:val="FootnoteReference"/>
        </w:rPr>
        <w:footnoteReference w:id="18298"/>
      </w:r>
      <w:r>
        <w:rPr/>
        <w:t xml:space="preserve"> For example, this is done in the name “Adonijah” (see commentary above), which means “Yahweh (is) the Lord.” This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FootnoteReference"/>
        </w:rPr>
        <w:footnoteReference w:id="17963"/>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FootnoteReference"/>
        </w:rPr>
        <w:footnoteReference w:id="29967"/>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is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descendant of David. Both earlier (cf. Isa. 9:6 [Eng. Isa. 9:7] and later exegesis (Isa. 16:5; 55:4-5; Jer. 23:5; 33:15) make the connection explicit.”</w:t>
      </w:r>
      <w:r>
        <w:rPr>
          <w:rStyle w:val="FootnoteReference"/>
        </w:rPr>
        <w:footnoteReference w:id="11976"/>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FootnoteReference"/>
        </w:rPr>
        <w:footnoteReference w:id="30353"/>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also means “breath” (cf. ESV, KJV, NASB, NIV), it may not be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FootnoteReference"/>
        </w:rPr>
        <w:footnoteReference w:id="31287"/>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FootnoteReference"/>
        </w:rPr>
        <w:footnoteReference w:id="20894"/>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FootnoteReference"/>
        </w:rPr>
        <w:footnoteReference w:id="24557"/>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descendant,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FootnoteReference"/>
        </w:rPr>
        <w:footnoteReference w:id="29807"/>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w:t>
      </w:r>
      <w:r>
        <w:rPr>
          <w:rStyle w:val="FootnoteReference"/>
        </w:rPr>
        <w:footnoteReference w:id="13355"/>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wants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the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FootnoteReference"/>
        </w:rPr>
        <w:footnoteReference w:id="18588"/>
      </w:r>
      <w:r>
        <w:rPr/>
        <w:t xml:space="preserve"> That Mount Zaphon was such a high mountain and easily visible from the Mediterranean Sea made it a well-known landmark for sailors, which explains why it was known in so many different ancient countries, including Canaan, Ugarit, Egypt, Phoenicia,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FootnoteReference"/>
        </w:rPr>
        <w:footnoteReference w:id="21956"/>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FootnoteReference"/>
        </w:rPr>
        <w:footnoteReference w:id="28366"/>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22:13</w:t>
      </w:r>
    </w:p>
    <w:p>
      <w:pPr>
        <w:pStyle w:val="rNormal"/>
        <w:widowControl w:val="on"/>
        <w:spacing w:before="240" w:after="240" w:line="240" w:lineRule="auto"/>
        <w:ind w:left="0" w:right="0" w:firstLine="1"/>
        <w:jc w:val="left"/>
      </w:pPr>
      <w:r>
        <w:rPr>
          <w:b/>
          <w:bCs/>
        </w:rPr>
        <w:t xml:space="preserve">“killing cattle and slaughtering sheep.”</w:t>
      </w:r>
      <w:r>
        <w:rPr/>
        <w:t xml:space="preserve"> The people should have repented of their sin, but instead, they gave themselves over to being killed in the future, so they just celebrated and ate and drank. They killed cattle and sheep, which they would almost certainly have needed for food and clothing in the future. The text uses “kill” and “slaughter,” which refer to the same thing in this context, to catch our attention and point to the people’s unwillingness to plan for the future.</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28506"/>
        </w:numPr>
        <w:spacing w:before="0" w:after="0" w:line="240" w:lineRule="auto"/>
        <w:rPr/>
      </w:pPr>
      <w:r>
        <w:rPr/>
        <w:t xml:space="preserve">The Tribulation (Isa. 24; Matt. 24:21; Rev. 6-19).</w:t>
      </w:r>
    </w:p>
    <w:p>
      <w:pPr>
        <w:numPr>
          <w:ilvl w:val="0"/>
          <w:numId w:val="28506"/>
        </w:numPr>
        <w:spacing w:before="0" w:after="0" w:line="240" w:lineRule="auto"/>
        <w:rPr/>
      </w:pPr>
      <w:r>
        <w:rPr/>
        <w:t xml:space="preserve">Battle of Armageddon (Isa. 63:1-6; Zech. 14:3-6; Rev. 16:11-16; 19:11-21).</w:t>
      </w:r>
    </w:p>
    <w:p>
      <w:pPr>
        <w:numPr>
          <w:ilvl w:val="0"/>
          <w:numId w:val="28506"/>
        </w:numPr>
        <w:spacing w:before="0" w:after="0" w:line="240" w:lineRule="auto"/>
        <w:rPr/>
      </w:pPr>
      <w:r>
        <w:rPr/>
        <w:t xml:space="preserve">Sheep and Goat Judgment and First Resurrection (Isa. 26:19; Ezek. 37:11-14; Dan. 12:2; John 5:25-29; Rev. 20:4; Matt. 25:31-46).</w:t>
      </w:r>
    </w:p>
    <w:p>
      <w:pPr>
        <w:numPr>
          <w:ilvl w:val="0"/>
          <w:numId w:val="28506"/>
        </w:numPr>
        <w:spacing w:before="0" w:after="0" w:line="240" w:lineRule="auto"/>
        <w:rPr/>
      </w:pPr>
      <w:r>
        <w:rPr/>
        <w:t xml:space="preserve">The Temple (and Jerusalem?) being rebuilt (Ezek. 40-43; cf. Hag. 1:1-11).</w:t>
      </w:r>
    </w:p>
    <w:p>
      <w:pPr>
        <w:numPr>
          <w:ilvl w:val="0"/>
          <w:numId w:val="28506"/>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FootnoteReference"/>
        </w:rPr>
        <w:footnoteReference w:id="32388"/>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Word Study: “Pneuma.”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FootnoteReference"/>
        </w:rPr>
        <w:footnoteReference w:id="28106"/>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Word Study: “Psuchē.”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FootnoteReference"/>
        </w:rPr>
        <w:footnoteReference w:id="12543"/>
      </w:r>
      <w:r>
        <w:rPr/>
        <w:t xml:space="preserve"> or a burning or burning mass.</w:t>
      </w:r>
      <w:r>
        <w:rPr>
          <w:rStyle w:val="FootnoteReference"/>
        </w:rPr>
        <w:footnoteReference w:id="28536"/>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FootnoteReference"/>
        </w:rPr>
        <w:footnoteReference w:id="31093"/>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FootnoteReference"/>
        </w:rPr>
        <w:footnoteReference w:id="14464"/>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FootnoteReference"/>
        </w:rPr>
        <w:footnoteReference w:id="14966"/>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FootnoteReference"/>
        </w:rPr>
        <w:footnoteReference w:id="19831"/>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FootnoteReference"/>
        </w:rPr>
        <w:footnoteReference w:id="25366"/>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who are charged with the responsibility of taking care of God’s people. Note also that it is “my people” who are to be comforted. In the context of Isaiah and the time in which he lived,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doomed—they will eventually be annihilated in the Lake of Fire (Rev. 20:15-21).</w:t>
      </w:r>
    </w:p>
    <w:p>
      <w:pPr>
        <w:pStyle w:val="rNormal"/>
        <w:widowControl w:val="on"/>
        <w:spacing w:before="240" w:after="240" w:line="240" w:lineRule="auto"/>
        <w:ind w:left="0" w:right="0"/>
        <w:jc w:val="left"/>
      </w:pPr>
      <w:r>
        <w:rPr/>
        <w:t xml:space="preserve">The words “Comfort, comfort my people,” are sudden and somewhat unexpected. They come after chapters in which God’s judgment is pronounced against God’s people for their sin, but the words now reveal the love and mercy of God. This prophecy is a different cry from earlier in Isaiah’s ministry when he was told he would call out to Israel but they would not listen (Isa. 6:9-10). By the time of Isaiah 40, the Northern Kingdom of Israel had been conquered by the Assyrians and had gone into exile, but the Babylonian Captivity of Judah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FootnoteReference"/>
        </w:rPr>
        <w:footnoteReference w:id="30236"/>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Judah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apparent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jc w:val="left"/>
      </w:pPr>
      <w:r>
        <w:rPr/>
        <w:t xml:space="preserve">More evidence that John the Baptist is the voice that is calling out comes from the book of Malachi. Malachi 3:1 uses the phrase “prepare a road,” And the Hebrew phrase is the same here in Isaiah as it is in Malachi 3:1.</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Yahweh would come to Israel via His representative, the Messiah. To welcome Yahweh’s representative was to welcome Yahweh, and to reject the representative was to reject Yahweh, and by that same principle of agency, people who received those who Jesus sent received Jesus himself (cf. Matt. 10:40; John 13:20).</w:t>
      </w:r>
    </w:p>
    <w:p>
      <w:pPr>
        <w:pStyle w:val="rNormal"/>
        <w:widowControl w:val="on"/>
        <w:spacing w:before="240" w:after="240" w:line="240" w:lineRule="auto"/>
        <w:ind w:left="0" w:right="0"/>
        <w:jc w:val="left"/>
      </w:pPr>
      <w:r>
        <w:rPr/>
        <w:t xml:space="preserve">In this context, Yahweh is God. Some Trinitarians try to use this section of Isaiah to prove that Jesus is God, but actually it proves the opposite, that Jesus is not God. Yahweh is the Father, Jesus is the Son of Yahweh. So when Isaiah 40 says that Yahweh is coming, it can't directly refer to the Son. As stated above, according to the Jewish law of agency, the agent can be spoken of as the one he represents. In this case, “Yahweh” refers to the one who represents Yahweh, which is His Messiah.</w:t>
      </w:r>
    </w:p>
    <w:p>
      <w:pPr>
        <w:pStyle w:val="rNormal"/>
        <w:widowControl w:val="on"/>
        <w:spacing w:before="240" w:after="240" w:line="240" w:lineRule="auto"/>
        <w:ind w:left="0" w:right="0"/>
        <w:jc w:val="left"/>
      </w:pPr>
      <w:r>
        <w:rPr/>
        <w:t xml:space="preserve">[For more on the Jewish law of agency, see commentary on Matthew 8:5.]</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FootnoteReference"/>
        </w:rPr>
        <w:footnoteReference w:id="28322"/>
      </w:r>
    </w:p>
    <w:p>
      <w:pPr>
        <w:pStyle w:val="rVersHead"/>
        <w:widowControl w:val="on"/>
      </w:pPr>
      <w:r>
        <w:rPr/>
        <w:t xml:space="preserve">Isa 40:7</w:t>
      </w:r>
    </w:p>
    <w:p>
      <w:pPr>
        <w:pStyle w:val="rNormal"/>
        <w:widowControl w:val="on"/>
        <w:spacing w:before="240" w:after="240" w:line="240" w:lineRule="auto"/>
        <w:ind w:left="0" w:right="0" w:firstLine="1"/>
        <w:jc w:val="left"/>
      </w:pPr>
      <w:r>
        <w:rPr>
          <w:b/>
          <w:bCs/>
        </w:rPr>
        <w:t xml:space="preserve">“grass.”</w:t>
      </w:r>
      <w:r>
        <w:rPr/>
        <w:t xml:space="preserve"> The biblical world did not have anything like our soft and manicured green grass. “Grass” was a generic term for the vegetation that grew on its own, which we would generally call field grass or weeds.</w:t>
      </w:r>
    </w:p>
    <w:p>
      <w:pPr>
        <w:pStyle w:val="rNormal"/>
        <w:widowControl w:val="on"/>
        <w:spacing w:before="240" w:after="240" w:line="240" w:lineRule="auto"/>
        <w:ind w:left="0" w:right="0" w:firstLine="1"/>
        <w:jc w:val="left"/>
      </w:pPr>
      <w:r>
        <w:rPr>
          <w:b/>
          <w:bCs/>
        </w:rPr>
        <w:t xml:space="preserve">“Surely the people are like grass.”</w:t>
      </w:r>
      <w:r>
        <w:rPr/>
        <w:t xml:space="preserve"> Human life is fragile and short. It is not something on which to build anything everlasting. In contrast, the Word of God is everlasting (Isa. 40:8).</w:t>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 The command is to go up on a high mountain in order to be heard far away.</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Normal"/>
        <w:widowControl w:val="on"/>
        <w:spacing w:before="240" w:after="240" w:line="240" w:lineRule="auto"/>
        <w:ind w:left="0" w:right="0" w:firstLine="1"/>
        <w:jc w:val="left"/>
      </w:pPr>
      <w:r>
        <w:rPr>
          <w:b/>
          <w:bCs/>
        </w:rPr>
        <w:t xml:space="preserve">“Behold your God.”</w:t>
      </w:r>
      <w:r>
        <w:rPr/>
        <w:t xml:space="preserve"> Yahweh will come in the sense that his representative, His Messiah, will come. This is the common Jewish understanding of “agency,” when a principal sends an agent who is empowered to do work in the name of the principal (see commentary on Matt. 8:5).</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FootnoteReference"/>
        </w:rPr>
        <w:footnoteReference w:id="16051"/>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FootnoteReference"/>
        </w:rPr>
        <w:footnoteReference w:id="20343"/>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FootnoteReference"/>
        </w:rPr>
        <w:footnoteReference w:id="19318"/>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FootnoteReference"/>
        </w:rPr>
        <w:footnoteReference w:id="24144"/>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 However, He gives humankind their own glory (Ps. 8:5).</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FootnoteReference"/>
        </w:rPr>
        <w:footnoteReference w:id="14620"/>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FootnoteReference"/>
        </w:rPr>
        <w:footnoteReference w:id="25817"/>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FootnoteReference"/>
        </w:rPr>
        <w:footnoteReference w:id="11120"/>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FootnoteReference"/>
        </w:rPr>
        <w:footnoteReference w:id="30017"/>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FootnoteReference"/>
        </w:rPr>
        <w:footnoteReference w:id="21625"/>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FootnoteReference"/>
        </w:rPr>
        <w:footnoteReference w:id="11583"/>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FootnoteReference"/>
        </w:rPr>
        <w:footnoteReference w:id="18123"/>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FootnoteReference"/>
        </w:rPr>
        <w:footnoteReference w:id="18744"/>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FootnoteReference"/>
        </w:rPr>
        <w:footnoteReference w:id="24442"/>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FootnoteReference"/>
        </w:rPr>
        <w:footnoteReference w:id="31132"/>
      </w:r>
      <w:r>
        <w:rPr/>
        <w:t xml:space="preserve"> John Oswalt reads, “it was he who was humbling himself.”</w:t>
      </w:r>
      <w:r>
        <w:rPr>
          <w:rStyle w:val="FootnoteReference"/>
        </w:rPr>
        <w:footnoteReference w:id="16427"/>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FootnoteReference"/>
        </w:rPr>
        <w:footnoteReference w:id="20561"/>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FootnoteReference"/>
        </w:rPr>
        <w:footnoteReference w:id="12546"/>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54:1-17 speaks of the future restoration and glory of Israel, which will occur in the Millennial Kingdom when Jesus Christ rules the earth. That fact becomes clear as one reads the chapter and fits it with the prophecies of the restoration of Israel in the future kingdom of Christ on earth.</w:t>
      </w:r>
    </w:p>
    <w:p>
      <w:pPr>
        <w:pStyle w:val="rNormal"/>
        <w:widowControl w:val="on"/>
        <w:spacing w:before="240" w:after="240" w:line="240" w:lineRule="auto"/>
        <w:ind w:left="0" w:right="0"/>
        <w:jc w:val="left"/>
      </w:pPr>
      <w:r>
        <w:rPr/>
        <w:t xml:space="preserve">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FootnoteReference"/>
        </w:rPr>
        <w:footnoteReference w:id="29857"/>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and all who believe in him will inherit everlasting life.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Millennial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she will grow to include all the different peoples that Christ came to save, and so she will need to enlarge her tent to include them, as described here in Isaiah 54:2.</w:t>
      </w:r>
    </w:p>
    <w:p>
      <w:pPr>
        <w:pStyle w:val="rVersHead"/>
        <w:widowControl w:val="on"/>
      </w:pPr>
      <w:r>
        <w:rPr/>
        <w:t xml:space="preserve">Isa 54:3</w:t>
      </w:r>
    </w:p>
    <w:p>
      <w:pPr>
        <w:pStyle w:val="rNormal"/>
        <w:widowControl w:val="on"/>
        <w:spacing w:before="240" w:after="240" w:line="240" w:lineRule="auto"/>
        <w:ind w:left="0" w:right="0" w:firstLine="1"/>
        <w:jc w:val="left"/>
      </w:pPr>
      <w:r>
        <w:rPr>
          <w:b/>
          <w:bCs/>
        </w:rPr>
        <w:t xml:space="preserve">“For you will spread out to the right hand and to the left.”</w:t>
      </w:r>
      <w:r>
        <w:rPr/>
        <w:t xml:space="preserve"> That Israel would expand to the right and left makes perfect sense in the Old Testament culture. In the biblical world, the map orientation was to the east, the direction of the rising sun. So, for example, the Tabernacle and Temple faced east. Similarly, in Genesis 14:15, the Hebrew text says that Abraham fought a battle on “the left hand of Damascus,” which meant the north side of Damascus. In contrast to the eastern orientation of the biblical world, most maps in the Western World are oriented to the north. Since Isaiah 54 is about Israel, it makes perfect sense that Israel would be foretold to spread out “to the right hand,” i.e., the south, and “to the left” i.e., to the north. Israel can grow toward the south, toward Egypt, and to the north, toward Lebanon and Syria, but it cannot spread out to the west because of the Mediterranean Sea, and nor can it grow to the east because of the Jordan River and the land God gave to the nations east of the Jordan.</w:t>
      </w:r>
    </w:p>
    <w:p>
      <w:pPr>
        <w:pStyle w:val="rNormal"/>
        <w:widowControl w:val="on"/>
        <w:spacing w:before="240" w:after="240" w:line="240" w:lineRule="auto"/>
        <w:ind w:left="0" w:right="0" w:firstLine="1"/>
        <w:jc w:val="left"/>
      </w:pPr>
      <w:r>
        <w:rPr>
          <w:b/>
          <w:bCs/>
        </w:rPr>
        <w:t xml:space="preserve">“your seed will possess the nations.”</w:t>
      </w:r>
      <w:r>
        <w:rPr/>
        <w:t xml:space="preserve"> When Jesus comes back and rules the earth from Jerusalem in his Millennial Kingdom, Israel will grow and will possess the nations and resettle desolate and uninhabited cities (cf. Ps. 2:8; Isa. 11:14; 14:2).</w:t>
      </w:r>
    </w:p>
    <w:p>
      <w:pPr>
        <w:pStyle w:val="rNormal"/>
        <w:widowControl w:val="on"/>
        <w:spacing w:before="240" w:after="240" w:line="240" w:lineRule="auto"/>
        <w:ind w:left="0" w:right="0"/>
        <w:jc w:val="left"/>
      </w:pPr>
      <w:r>
        <w:rPr/>
        <w:t xml:space="preserve">[For more on the Millennial Kingdom of Christ, see Appendix 5, “The Future Kingdom of Christ on Earth.”]</w:t>
      </w:r>
    </w:p>
    <w:p>
      <w:pPr>
        <w:pStyle w:val="rVersHead"/>
        <w:widowControl w:val="on"/>
      </w:pPr>
      <w:r>
        <w:rPr/>
        <w:t xml:space="preserve">Isa 54:4</w:t>
      </w:r>
    </w:p>
    <w:p>
      <w:pPr>
        <w:pStyle w:val="rNormal"/>
        <w:widowControl w:val="on"/>
        <w:spacing w:before="240" w:after="240" w:line="240" w:lineRule="auto"/>
        <w:ind w:left="0" w:right="0" w:firstLine="1"/>
        <w:jc w:val="left"/>
      </w:pPr>
      <w:r>
        <w:rPr>
          <w:b/>
          <w:bCs/>
        </w:rPr>
        <w:t xml:space="preserve">“for you will forget the shame of your youth, and the reproach of your widowhood you will remember no more.”</w:t>
      </w:r>
      <w:r>
        <w:rPr/>
        <w:t xml:space="preserve"> The “youth” and “widowhood” are not specifically described here, but many scholars suggest that the shame of the youth referred to the bondage in Egypt, and that is likely. The “widowhood” could well refer to the time of Isaiah when the people of God abandoned Him so He abandoned them and said, “you are not my people and I will not be your </w:t>
      </w:r>
      <w:r>
        <w:rPr>
          <w:i/>
          <w:iCs/>
        </w:rPr>
        <w:t xml:space="preserve">God</w:t>
      </w:r>
      <w:r>
        <w:rPr/>
        <w:t xml:space="preserve">” (Hos. 1:9). Some liberal scholars suggest that the “widowhood” refers to the Babylonian Captivity, but that cannot be the case because Isaiah wrote long before the Babylonian Captivity.</w:t>
      </w:r>
    </w:p>
    <w:p>
      <w:pPr>
        <w:pStyle w:val="rNormal"/>
        <w:widowControl w:val="on"/>
        <w:spacing w:before="240" w:after="240" w:line="240" w:lineRule="auto"/>
        <w:ind w:left="0" w:right="0"/>
        <w:jc w:val="left"/>
      </w:pPr>
      <w:r>
        <w:rPr/>
        <w:t xml:space="preserve">Isaiah 54:4 refers to the future Millennial Kingdom of Christ on earth. The prophecy here in Isaiah 54:4 has not been fulfilled yet, and it was spoken over 2,700 years ago. In the Millennial Kingdom, the glory of Israel will be restored.</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“For your Maker is your husband.”</w:t>
      </w:r>
      <w:r>
        <w:rPr/>
        <w:t xml:space="preserve"> God is the Maker of Israel, the one who made her.</w:t>
      </w:r>
    </w:p>
    <w:p>
      <w:pPr>
        <w:pStyle w:val="rNormal"/>
        <w:widowControl w:val="on"/>
        <w:spacing w:before="240" w:after="240" w:line="240" w:lineRule="auto"/>
        <w:ind w:left="0" w:right="0" w:firstLine="1"/>
        <w:jc w:val="left"/>
      </w:pPr>
      <w:r>
        <w:rPr>
          <w:b/>
          <w:bCs/>
        </w:rPr>
        <w:t xml:space="preserve">“your Redeemer is the Holy One of Israe</w:t>
      </w:r>
      <w:r>
        <w:rPr/>
        <w:t xml:space="preserve">l</w:t>
      </w:r>
      <w:r>
        <w:rPr>
          <w:b/>
          <w:bCs/>
        </w:rPr>
        <w:t xml:space="preserve">.”</w:t>
      </w:r>
      <w:r>
        <w:rPr/>
        <w:t xml:space="preserve"> This statement echoes the first and says the same thing but in a different way and with added information.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Christ’s future Millennial Kingdom when Jesus rules the earth. At that time, God will not only be the God of all the earth, but He will also be recognized as such (e.g., Isa. 54:5; Zech. 14:9; cf. Ps. 72:19).</w:t>
      </w:r>
    </w:p>
    <w:p>
      <w:pPr>
        <w:pStyle w:val="rNormal"/>
        <w:widowControl w:val="on"/>
        <w:spacing w:before="240" w:after="240" w:line="240" w:lineRule="auto"/>
        <w:ind w:left="0" w:right="0"/>
        <w:jc w:val="left"/>
      </w:pPr>
      <w:r>
        <w:rPr/>
        <w:t xml:space="preserve">[For more information on the Millennial Kingdom, “Christ’s Future Kingdom on Earth.”]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54:7</w:t>
      </w:r>
    </w:p>
    <w:p>
      <w:pPr>
        <w:pStyle w:val="rNormal"/>
        <w:widowControl w:val="on"/>
        <w:spacing w:before="240" w:after="240" w:line="240" w:lineRule="auto"/>
        <w:ind w:left="0" w:right="0" w:firstLine="1"/>
        <w:jc w:val="left"/>
      </w:pPr>
      <w:r>
        <w:rPr>
          <w:b/>
          <w:bCs/>
        </w:rPr>
        <w:t xml:space="preserve">“but with great mercies I will gather you.”</w:t>
      </w:r>
      <w:r>
        <w:rPr/>
        <w:t xml:space="preserve"> When Christ comes back and conquers the earth and rules it from Jerusalem, God will gather the Israelites from all over the earth to the land of Israel. Many prophecies speak about this (see commentary on Jer. 32:37. Also see Appendix 5: “Christ’s Future Kingdom on Earth”).</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Isa 54:13</w:t>
      </w:r>
    </w:p>
    <w:p>
      <w:pPr>
        <w:pStyle w:val="rNormal"/>
        <w:widowControl w:val="on"/>
        <w:spacing w:before="240" w:after="240" w:line="240" w:lineRule="auto"/>
        <w:ind w:left="0" w:right="0" w:firstLine="1"/>
        <w:jc w:val="left"/>
      </w:pPr>
      <w:r>
        <w:rPr>
          <w:b/>
          <w:bCs/>
        </w:rPr>
        <w:t xml:space="preserve">“All your children will be taught by Yahweh.”</w:t>
      </w:r>
      <w:r>
        <w:rPr/>
        <w:t xml:space="preserve"> The verses in Isaiah 54 refer to the Millennial Kingdom of Christ—the future kingdom of Christ on earth (see commentary on Isa. 54:1.</w:t>
      </w:r>
    </w:p>
    <w:p>
      <w:pPr>
        <w:pStyle w:val="rNormal"/>
        <w:widowControl w:val="on"/>
        <w:spacing w:before="240" w:after="240" w:line="240" w:lineRule="auto"/>
        <w:ind w:left="0" w:right="0"/>
        <w:jc w:val="left"/>
      </w:pPr>
      <w:r>
        <w:rPr/>
        <w:t xml:space="preserve">In the Millennial Kingdom when Christ rules the earth from Jerusalem, the people will be taught by Yahweh and His representatives on earth. Isaiah 2:3 says that “the law will go forth out from Zion, and the word of Yahweh from Jerusalem” (cf. Micah 4:2). Furthermore, the knowledge of God will be widespread. Isaiah 11:9 says, “the earth will be full of the knowledge of Yahweh like the waters cover the sea” (cf. Hab. 2:14).</w:t>
      </w:r>
    </w:p>
    <w:p>
      <w:pPr>
        <w:pStyle w:val="rNormal"/>
        <w:widowControl w:val="on"/>
        <w:spacing w:before="240" w:after="240" w:line="240" w:lineRule="auto"/>
        <w:ind w:left="0" w:right="0"/>
        <w:jc w:val="left"/>
      </w:pPr>
      <w:r>
        <w:rPr/>
        <w:t xml:space="preserve">The prophecy that “all your children will be taught by Yahweh” was referenced by Jesus in John 6:45. Although the ultimate fulfillment of the prophecy will happen in the Millennial Kingdom, Jesus referenced it in light of the people who hungered for truth and were thus were taught by the Father and led to Jesus Christ. The way Jesus used Isaiah was to show that God’s desire was to teach anyone who was humble and hungry for truth.</w:t>
      </w:r>
    </w:p>
    <w:p>
      <w:pPr>
        <w:pStyle w:val="rVersHead"/>
        <w:widowControl w:val="on"/>
      </w:pPr>
      <w:r>
        <w:rPr/>
        <w:t xml:space="preserve">Isa 54:17</w:t>
      </w:r>
    </w:p>
    <w:p>
      <w:pPr>
        <w:pStyle w:val="rNormal"/>
        <w:widowControl w:val="on"/>
        <w:spacing w:before="240" w:after="240" w:line="240" w:lineRule="auto"/>
        <w:ind w:left="0" w:right="0" w:firstLine="1"/>
        <w:jc w:val="left"/>
      </w:pPr>
      <w:r>
        <w:rPr>
          <w:b/>
          <w:bCs/>
        </w:rPr>
        <w:t xml:space="preserve">“No weapon that is formed against you will prevail.”</w:t>
      </w:r>
      <w:r>
        <w:rPr/>
        <w:t xml:space="preserve"> This verse is concerning Israel during the Millennial Kingdom when Christ rules the world. At that future time, no weapon that anyone would use against Israel will succeed. Even at the end of the Millennial Kingdom, when Satan and his demons are released from their prison and attack Israel, God will defend Israel and defeat the enemy (Rev. 20:7-10). That this verse is about the Millennial Kingdom can be clearly seen from the context right in the chapter (cf. especially Isa. 54:3, 7, 11, 12, 15).</w:t>
      </w:r>
    </w:p>
    <w:p>
      <w:pPr>
        <w:pStyle w:val="rNormal"/>
        <w:widowControl w:val="on"/>
        <w:spacing w:before="240" w:after="240" w:line="240" w:lineRule="auto"/>
        <w:ind w:left="0" w:right="0"/>
        <w:jc w:val="left"/>
      </w:pPr>
      <w:r>
        <w:rPr/>
        <w:t xml:space="preserve">Sadly, this verse is sometimes taken out of context and used to teach that if a person “has faith” no manmade weapon will be able to harm him. That is a false teaching, and it can be shown to be false by the large number of Christians who are murdered or killed all over the earth every day. When Christians are taught that human weapons cannot kill or harm them, and they are harmed or a Christian they know is killed, it hurts their trust in God. God never promises that Christians cannot be killed or harmed by human weapons. Christians are to live wisely and do their best to stay healthy and safe.</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FootnoteReference"/>
        </w:rPr>
        <w:footnoteReference w:id="30894"/>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FootnoteReference"/>
        </w:rPr>
        <w:footnoteReference w:id="17811"/>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FootnoteReference"/>
        </w:rPr>
        <w:footnoteReference w:id="14817"/>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94946862ad5a95176"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FootnoteReference"/>
        </w:rPr>
        <w:footnoteReference w:id="18681"/>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FootnoteReference"/>
        </w:rPr>
        <w:footnoteReference w:id="17308"/>
      </w:r>
      <w:r>
        <w:rPr/>
        <w:t xml:space="preserve"> and John Oswalt</w:t>
      </w:r>
      <w:r>
        <w:rPr>
          <w:rStyle w:val="FootnoteReference"/>
        </w:rPr>
        <w:footnoteReference w:id="14020"/>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It is important to remember that very few people who lived during Old Testament times or even at the time of Christ realized that there were going to be two comings of the Messiah, the first when he would die and the second when he would conquer. Most people believed the Messiah would come, conquer the earth, and reign from Jerusalem. By the time of Christ, some rabbis were teaching that there would be two separate messiahs, whom they called “Messiah ben Joseph,” who would suffer, and “Messiah ben David,” who would conquer the earth, but we do not know how early that fact was recognized and taught—it may have been taught by some of the Old Testament prophets but was never written down such that historians would see it (see commentary on Matt. 11:3).</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FootnoteReference"/>
        </w:rPr>
        <w:footnoteReference w:id="15673"/>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FootnoteReference"/>
        </w:rPr>
        <w:footnoteReference w:id="32756"/>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FootnoteReference"/>
        </w:rPr>
        <w:footnoteReference w:id="22075"/>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slaughters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FootnoteReference"/>
        </w:rPr>
        <w:footnoteReference w:id="13306"/>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FootnoteReference"/>
        </w:rPr>
        <w:footnoteReference w:id="24708"/>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FootnoteReference"/>
        </w:rPr>
        <w:footnoteReference w:id="28885"/>
      </w:r>
      <w:r>
        <w:rPr/>
        <w:t xml:space="preserve"> Helaine Burch writes that the worm and fire can portray “everlasting destruction with no hope of reversal.”</w:t>
      </w:r>
      <w:r>
        <w:rPr>
          <w:rStyle w:val="FootnoteReference"/>
        </w:rPr>
        <w:footnoteReference w:id="23074"/>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r>
        <w:br w:type="page"/>
      </w:r>
    </w:p>
    <w:sectPr xmlns:w="http://schemas.openxmlformats.org/wordprocessingml/2006/main" w:rsidR="00044D3F" w:rsidSect="001A2279">
      <w:footerReference xmlns:r="http://schemas.openxmlformats.org/officeDocument/2006/relationships" w:type="default" r:id="rId18786862ad595aa4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592731"/>
      <w:docPartObj>
        <w:docPartGallery w:val="Page Numbers (Bottom of Page)"/>
        <w:docPartUnique/>
      </w:docPartObj>
    </w:sdtPr>
    <w:sdtContent>
      <w:sdt>
        <w:sdtPr>
          <w:id w:val="6495019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825">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25653">
    <w:p>
      <w:pPr>
        <w:pStyle w:val="FootnoteText"/>
      </w:pPr>
      <w:r>
        <w:rPr>
          <w:rStyle w:val="FootnoteReference"/>
        </w:rPr>
        <w:footnoteRef/>
      </w:r>
      <w:r>
        <w:t xml:space="preserve">
          <w:r>
            <w:t xml:space="preserve">
              <w:r>
                <w:t xml:space="preserve"> Martin Abegg, Peter Flint, Eugene Ulrich, The Dead Sea Scrolls Bible, p. 267</w:t>
              </w:r>
            </w:t>
          </w:r>
        </w:t>
      </w:r>
    </w:p>
  </w:footnote>
  <w:footnote w:id="14186">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140.</w:t>
              </w:r>
            </w:t>
          </w:r>
        </w:t>
      </w:r>
    </w:p>
  </w:footnote>
  <w:footnote w:id="29860">
    <w:p>
      <w:pPr>
        <w:pStyle w:val="FootnoteText"/>
      </w:pPr>
      <w:r>
        <w:rPr>
          <w:rStyle w:val="FootnoteReference"/>
        </w:rPr>
        <w:footnoteRef/>
      </w:r>
      <w:r>
        <w:t xml:space="preserve">
          <w:r>
            <w:t xml:space="preserve">
              <w:r>
                <w:t xml:space="preserve"> C. H. V. Sutherland, </w:t>
              </w:r>
              <w:r>
                <w:rPr>
                  <w:i/>
                </w:rPr>
                <w:t xml:space="preserve">Roman Coins</w:t>
              </w:r>
              <w:r>
                <w:t xml:space="preserve">, 176-179.</w:t>
              </w:r>
            </w:t>
          </w:r>
        </w:t>
      </w:r>
    </w:p>
  </w:footnote>
  <w:footnote w:id="12215">
    <w:p>
      <w:pPr>
        <w:pStyle w:val="FootnoteText"/>
      </w:pPr>
      <w:r>
        <w:rPr>
          <w:rStyle w:val="FootnoteReference"/>
        </w:rPr>
        <w:footnoteRef/>
      </w:r>
      <w:r>
        <w:t xml:space="preserve">
          <w:r>
            <w:t xml:space="preserve">
              <w:r>
                <w:t xml:space="preserve"> Cf. Edward J. Young, </w:t>
              </w:r>
              <w:r>
                <w:rPr>
                  <w:i/>
                </w:rPr>
                <w:t xml:space="preserve">The Book of Isaiah: Chapters 1-18</w:t>
              </w:r>
              <w:r>
                <w:t xml:space="preserve"> [NICOT], 1:173-76.</w:t>
              </w:r>
            </w:t>
          </w:r>
        </w:t>
      </w:r>
    </w:p>
  </w:footnote>
  <w:footnote w:id="11078">
    <w:p>
      <w:pPr>
        <w:pStyle w:val="FootnoteText"/>
      </w:pPr>
      <w:r>
        <w:rPr>
          <w:rStyle w:val="FootnoteReference"/>
        </w:rPr>
        <w:footnoteRef/>
      </w:r>
      <w:r>
        <w:t xml:space="preserve">
          <w:r>
            <w:t xml:space="preserve">
              <w:r>
                <w:t xml:space="preserve"> Cf. Tenney, </w:t>
              </w:r>
              <w:r>
                <w:rPr>
                  <w:i/>
                </w:rPr>
                <w:t xml:space="preserve">Zondervan Pictorial Encyclopedia of the Bible</w:t>
              </w:r>
              <w:r>
                <w:t xml:space="preserve">.</w:t>
              </w:r>
            </w:t>
          </w:r>
        </w:t>
      </w:r>
    </w:p>
  </w:footnote>
  <w:footnote w:id="14008">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267, “polyptoton.”</w:t>
              </w:r>
            </w:t>
          </w:r>
        </w:t>
      </w:r>
    </w:p>
  </w:footnote>
  <w:footnote w:id="30736">
    <w:p>
      <w:pPr>
        <w:pStyle w:val="FootnoteText"/>
      </w:pPr>
      <w:r>
        <w:rPr>
          <w:rStyle w:val="FootnoteReference"/>
        </w:rPr>
        <w:footnoteRef/>
      </w:r>
      <w:r>
        <w:t xml:space="preserve">
          <w:r>
            <w:t xml:space="preserve">
              <w:r>
                <w:t xml:space="preserve"> See John Oswalt, </w:t>
              </w:r>
              <w:r>
                <w:rPr>
                  <w:i/>
                </w:rPr>
                <w:t xml:space="preserve">The Book of Isaiah, Chapters 1-39</w:t>
              </w:r>
              <w:r>
                <w:t xml:space="preserve"> [NICOT].</w:t>
              </w:r>
            </w:t>
          </w:r>
        </w:t>
      </w:r>
    </w:p>
  </w:footnote>
  <w:footnote w:id="13433">
    <w:p>
      <w:pPr>
        <w:pStyle w:val="FootnoteText"/>
      </w:pPr>
      <w:r>
        <w:rPr>
          <w:rStyle w:val="FootnoteReference"/>
        </w:rPr>
        <w:footnoteRef/>
      </w:r>
      <w:r>
        <w:t xml:space="preserve">
          <w:r>
            <w:t xml:space="preserve">
              <w:r>
                <w:t xml:space="preserve"> Cf. Gary Smith, </w:t>
              </w:r>
              <w:r>
                <w:rPr>
                  <w:i/>
                </w:rPr>
                <w:t xml:space="preserve">Isaiah 1-39</w:t>
              </w:r>
              <w:r>
                <w:t xml:space="preserve"> [NAC], 213.</w:t>
              </w:r>
            </w:t>
          </w:r>
        </w:t>
      </w:r>
    </w:p>
  </w:footnote>
  <w:footnote w:id="32758">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 w:id="11692">
    <w:p>
      <w:pPr>
        <w:pStyle w:val="FootnoteText"/>
      </w:pPr>
      <w:r>
        <w:rPr>
          <w:rStyle w:val="FootnoteReference"/>
        </w:rPr>
        <w:footnoteRef/>
      </w:r>
      <w:r>
        <w:t xml:space="preserve">
          <w:r>
            <w:t xml:space="preserve">
              <w:r>
                <w:t xml:space="preserve"> Edward J. Young, </w:t>
              </w:r>
              <w:r>
                <w:rPr>
                  <w:i/>
                </w:rPr>
                <w:t xml:space="preserve">The Book of Isaiah: Chapters 1-18</w:t>
              </w:r>
              <w:r>
                <w:t xml:space="preserve"> [NICOT], 306.</w:t>
              </w:r>
            </w:t>
          </w:r>
        </w:t>
      </w:r>
    </w:p>
  </w:footnote>
  <w:footnote w:id="22895">
    <w:p>
      <w:pPr>
        <w:pStyle w:val="FootnoteText"/>
      </w:pPr>
      <w:r>
        <w:rPr>
          <w:rStyle w:val="FootnoteReference"/>
        </w:rPr>
        <w:footnoteRef/>
      </w:r>
      <w:r>
        <w:t xml:space="preserve">
          <w:r>
            <w:t xml:space="preserve">
              <w:r>
                <w:t xml:space="preserve"> J. Alec Motyer, </w:t>
              </w:r>
              <w:r>
                <w:rPr>
                  <w:i/>
                </w:rPr>
                <w:t xml:space="preserve">Isaiah: An Introduction and Commentary</w:t>
              </w:r>
              <w:r>
                <w:t xml:space="preserve"> [TOTC], 101.</w:t>
              </w:r>
            </w:t>
          </w:r>
        </w:t>
      </w:r>
    </w:p>
  </w:footnote>
  <w:footnote w:id="16559">
    <w:p>
      <w:pPr>
        <w:pStyle w:val="FootnoteText"/>
      </w:pPr>
      <w:r>
        <w:rPr>
          <w:rStyle w:val="FootnoteReference"/>
        </w:rPr>
        <w:footnoteRef/>
      </w:r>
      <w:r>
        <w:t xml:space="preserve">
          <w:r>
            <w:t xml:space="preserve">
              <w:r>
                <w:t xml:space="preserve"> John Goldingay, “The compound name in Isaiah 9:5(6),” CBQ 61 (1999): 239-44.</w:t>
              </w:r>
            </w:t>
          </w:r>
        </w:t>
      </w:r>
    </w:p>
  </w:footnote>
  <w:footnote w:id="25012">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247.</w:t>
              </w:r>
            </w:t>
          </w:r>
        </w:t>
      </w:r>
    </w:p>
  </w:footnote>
  <w:footnote w:id="25597">
    <w:p>
      <w:pPr>
        <w:pStyle w:val="FootnoteText"/>
      </w:pPr>
      <w:r>
        <w:rPr>
          <w:rStyle w:val="FootnoteReference"/>
        </w:rPr>
        <w:footnoteRef/>
      </w:r>
      <w:r>
        <w:t xml:space="preserve">
          <w:r>
            <w:t xml:space="preserve">
              <w:r>
                <w:t xml:space="preserve"> Ibid.</w:t>
              </w:r>
            </w:t>
          </w:r>
        </w:t>
      </w:r>
    </w:p>
  </w:footnote>
  <w:footnote w:id="26421">
    <w:p>
      <w:pPr>
        <w:pStyle w:val="FootnoteText"/>
      </w:pPr>
      <w:r>
        <w:rPr>
          <w:rStyle w:val="FootnoteReference"/>
        </w:rPr>
        <w:footnoteRef/>
      </w:r>
      <w:r>
        <w:t xml:space="preserve">
          <w:r>
            <w:t xml:space="preserve">
              <w:r>
                <w:t xml:space="preserve"> William L. Holladay, </w:t>
              </w:r>
              <w:r>
                <w:rPr>
                  <w:i/>
                </w:rPr>
                <w:t xml:space="preserve">Isaiah: Scroll of Prophetic Heritage</w:t>
              </w:r>
              <w:r>
                <w:t xml:space="preserve">, 108.</w:t>
              </w:r>
            </w:t>
          </w:r>
        </w:t>
      </w:r>
    </w:p>
  </w:footnote>
  <w:footnote w:id="12219">
    <w:p>
      <w:pPr>
        <w:pStyle w:val="FootnoteText"/>
      </w:pPr>
      <w:r>
        <w:rPr>
          <w:rStyle w:val="FootnoteReference"/>
        </w:rPr>
        <w:footnoteRef/>
      </w:r>
      <w:r>
        <w:t xml:space="preserve">
          <w:r>
            <w:t xml:space="preserve">
              <w:r>
                <w:t xml:space="preserve"> NRSVUE, fn. Isa. 8:1.</w:t>
              </w:r>
            </w:t>
          </w:r>
        </w:t>
      </w:r>
    </w:p>
  </w:footnote>
  <w:footnote w:id="10495">
    <w:p>
      <w:pPr>
        <w:pStyle w:val="FootnoteText"/>
      </w:pPr>
      <w:r>
        <w:rPr>
          <w:rStyle w:val="FootnoteReference"/>
        </w:rPr>
        <w:footnoteRef/>
      </w:r>
      <w:r>
        <w:t xml:space="preserve">
          <w:r>
            <w:t xml:space="preserve">
              <w:r>
                <w:t xml:space="preserve"> Adele Berlin and Marc Zvi Brettler, eds., </w:t>
              </w:r>
              <w:r>
                <w:rPr>
                  <w:i/>
                </w:rPr>
                <w:t xml:space="preserve">The Jewish Study Bible</w:t>
              </w:r>
              <w:r>
                <w:t xml:space="preserve">, 2nd ed. (2014), 784.</w:t>
              </w:r>
            </w:t>
          </w:r>
        </w:t>
      </w:r>
    </w:p>
  </w:footnote>
  <w:footnote w:id="32665">
    <w:p>
      <w:pPr>
        <w:pStyle w:val="FootnoteText"/>
      </w:pPr>
      <w:r>
        <w:rPr>
          <w:rStyle w:val="FootnoteReference"/>
        </w:rPr>
        <w:footnoteRef/>
      </w:r>
      <w:r>
        <w:t xml:space="preserve">
          <w:r>
            <w:t xml:space="preserve">
              <w:r>
                <w:t xml:space="preserve"> Albert Barnes, </w:t>
              </w:r>
              <w:r>
                <w:rPr>
                  <w:i/>
                </w:rPr>
                <w:t xml:space="preserve">Barne’s Notes: Isaiah</w:t>
              </w:r>
              <w:r>
                <w:t xml:space="preserve">, 193.</w:t>
              </w:r>
            </w:t>
          </w:r>
        </w:t>
      </w:r>
    </w:p>
  </w:footnote>
  <w:footnote w:id="18298">
    <w:p>
      <w:pPr>
        <w:pStyle w:val="FootnoteText"/>
      </w:pPr>
      <w:r>
        <w:rPr>
          <w:rStyle w:val="FootnoteReference"/>
        </w:rPr>
        <w:footnoteRef/>
      </w:r>
      <w:r>
        <w:t xml:space="preserve">
          <w:r>
            <w:t xml:space="preserve">
              <w:r>
                <w:t xml:space="preserve"> John Goldingay, “The compound name in Isaiah 9:5(6),” CBQ 61 (1999): 239-44.</w:t>
              </w:r>
            </w:t>
          </w:r>
        </w:t>
      </w:r>
    </w:p>
  </w:footnote>
  <w:footnote w:id="17963">
    <w:p>
      <w:pPr>
        <w:pStyle w:val="FootnoteText"/>
      </w:pPr>
      <w:r>
        <w:rPr>
          <w:rStyle w:val="FootnoteReference"/>
        </w:rPr>
        <w:footnoteRef/>
      </w:r>
      <w:r>
        <w:t xml:space="preserve">
          <w:r>
            <w:t xml:space="preserve">
              <w:r>
                <w:t xml:space="preserve"> H. G. M. Williamson, </w:t>
              </w:r>
              <w:r>
                <w:rPr>
                  <w:i/>
                </w:rPr>
                <w:t xml:space="preserve">A Critical and Exegetical Commentary on Isaiah 1-27</w:t>
              </w:r>
              <w:r>
                <w:t xml:space="preserve">, vol. 2 [ICC], eds. G. I. Davies and C. M. Tuckett, 397.</w:t>
              </w:r>
            </w:t>
          </w:r>
        </w:t>
      </w:r>
    </w:p>
  </w:footnote>
  <w:footnote w:id="29967">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257.</w:t>
              </w:r>
            </w:t>
          </w:r>
        </w:t>
      </w:r>
    </w:p>
  </w:footnote>
  <w:footnote w:id="11976">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278-79.</w:t>
              </w:r>
            </w:t>
          </w:r>
        </w:t>
      </w:r>
    </w:p>
  </w:footnote>
  <w:footnote w:id="30353">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137, “asyndeton.”</w:t>
              </w:r>
            </w:t>
          </w:r>
        </w:t>
      </w:r>
    </w:p>
  </w:footnote>
  <w:footnote w:id="31287">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0894">
    <w:p>
      <w:pPr>
        <w:pStyle w:val="FootnoteText"/>
      </w:pPr>
      <w:r>
        <w:rPr>
          <w:rStyle w:val="FootnoteReference"/>
        </w:rPr>
        <w:footnoteRef/>
      </w:r>
      <w:r>
        <w:t xml:space="preserve">
          <w:r>
            <w:t xml:space="preserve">
              <w:r>
                <w:t xml:space="preserve"> Oswalt, </w:t>
              </w:r>
              <w:r>
                <w:rPr>
                  <w:i/>
                </w:rPr>
                <w:t xml:space="preserve">The Book of Isaiah: Chapters 1-39</w:t>
              </w:r>
              <w:r>
                <w:t xml:space="preserve"> [NICOT], 284.</w:t>
              </w:r>
            </w:t>
          </w:r>
        </w:t>
      </w:r>
    </w:p>
  </w:footnote>
  <w:footnote w:id="24557">
    <w:p>
      <w:pPr>
        <w:pStyle w:val="FootnoteText"/>
      </w:pPr>
      <w:r>
        <w:rPr>
          <w:rStyle w:val="FootnoteReference"/>
        </w:rPr>
        <w:footnoteRef/>
      </w:r>
      <w:r>
        <w:t xml:space="preserve">
          <w:r>
            <w:t xml:space="preserve">
              <w:r>
                <w:t xml:space="preserve"> George Gray, </w:t>
              </w:r>
              <w:r>
                <w:rPr>
                  <w:i/>
                </w:rPr>
                <w:t xml:space="preserve">Isaiah 1-27</w:t>
              </w:r>
              <w:r>
                <w:t xml:space="preserve"> [ICC], 1:225.</w:t>
              </w:r>
            </w:t>
          </w:r>
        </w:t>
      </w:r>
    </w:p>
  </w:footnote>
  <w:footnote w:id="29807">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321.</w:t>
              </w:r>
            </w:t>
          </w:r>
        </w:t>
      </w:r>
    </w:p>
  </w:footnote>
  <w:footnote w:id="13355">
    <w:p>
      <w:pPr>
        <w:pStyle w:val="FootnoteText"/>
      </w:pPr>
      <w:r>
        <w:rPr>
          <w:rStyle w:val="FootnoteReference"/>
        </w:rPr>
        <w:footnoteRef/>
      </w:r>
      <w:r>
        <w:t xml:space="preserve">
          <w:r>
            <w:t xml:space="preserve">
              <w:r>
                <w:t xml:space="preserve"> Cf. BDAG for the definition “raise high.”</w:t>
              </w:r>
            </w:t>
          </w:r>
        </w:t>
      </w:r>
    </w:p>
  </w:footnote>
  <w:footnote w:id="18588">
    <w:p>
      <w:pPr>
        <w:pStyle w:val="FootnoteText"/>
      </w:pPr>
      <w:r>
        <w:rPr>
          <w:rStyle w:val="FootnoteReference"/>
        </w:rPr>
        <w:footnoteRef/>
      </w:r>
      <w:r>
        <w:t xml:space="preserve">
          <w:r>
            <w:t xml:space="preserve">
              <w:r>
                <w:t xml:space="preserve"> Wikipedia, “Jebel Aqra,” accessed March 15, 2024, https://en.wikipedia.org/wiki/Jebel_Aqra.</w:t>
              </w:r>
            </w:t>
          </w:r>
        </w:t>
      </w:r>
    </w:p>
  </w:footnote>
  <w:footnote w:id="21956">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w:t>
              </w:r>
            </w:t>
          </w:r>
        </w:t>
      </w:r>
    </w:p>
  </w:footnote>
  <w:footnote w:id="28366">
    <w:p>
      <w:pPr>
        <w:pStyle w:val="FootnoteText"/>
      </w:pPr>
      <w:r>
        <w:rPr>
          <w:rStyle w:val="FootnoteReference"/>
        </w:rPr>
        <w:footnoteRef/>
      </w:r>
      <w:r>
        <w:t xml:space="preserve">
          <w:r>
            <w:t xml:space="preserve">
              <w:r>
                <w:t xml:space="preserve"> Wikipedia, “Kir of Moab,” accessed November 9, 2023, https://en.wikipedia.org/wiki/Kir_of_Moab.</w:t>
              </w:r>
            </w:t>
          </w:r>
        </w:t>
      </w:r>
    </w:p>
  </w:footnote>
  <w:footnote w:id="32388">
    <w:p>
      <w:pPr>
        <w:pStyle w:val="FootnoteText"/>
      </w:pPr>
      <w:r>
        <w:rPr>
          <w:rStyle w:val="FootnoteReference"/>
        </w:rPr>
        <w:footnoteRef/>
      </w:r>
      <w:r>
        <w:t xml:space="preserve">
          <w:r>
            <w:t xml:space="preserve">
              <w:r>
                <w:t xml:space="preserve"> John N. Oswalt, </w:t>
              </w:r>
              <w:r>
                <w:rPr>
                  <w:i/>
                </w:rPr>
                <w:t xml:space="preserve">The Book of Isaiah: Chapters 1-39</w:t>
              </w:r>
              <w:r>
                <w:t xml:space="preserve"> [NICOT].</w:t>
              </w:r>
            </w:t>
          </w:r>
        </w:t>
      </w:r>
    </w:p>
  </w:footnote>
  <w:footnote w:id="28106">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“Shadow of a Rock,” Kindle.</w:t>
              </w:r>
            </w:t>
          </w:r>
        </w:t>
      </w:r>
    </w:p>
  </w:footnote>
  <w:footnote w:id="12543">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TWOT</w:t>
              </w:r>
              <w:r>
                <w:t xml:space="preserve">.</w:t>
              </w:r>
            </w:t>
          </w:r>
        </w:t>
      </w:r>
    </w:p>
  </w:footnote>
  <w:footnote w:id="28536">
    <w:p>
      <w:pPr>
        <w:pStyle w:val="FootnoteText"/>
      </w:pPr>
      <w:r>
        <w:rPr>
          <w:rStyle w:val="FootnoteReference"/>
        </w:rPr>
        <w:footnoteRef/>
      </w:r>
      <w:r>
        <w:t xml:space="preserve">
          <w:r>
            <w:t xml:space="preserve">
              <w:r>
                <w:t xml:space="preserve"> </w:t>
              </w:r>
              <w:r>
                <w:rPr>
                  <w:i/>
                </w:rPr>
                <w:t xml:space="preserve">TWOT</w:t>
              </w:r>
              <w:r>
                <w:t xml:space="preserve">; BDB.</w:t>
              </w:r>
            </w:t>
          </w:r>
        </w:t>
      </w:r>
    </w:p>
  </w:footnote>
  <w:footnote w:id="31093">
    <w:p>
      <w:pPr>
        <w:pStyle w:val="FootnoteText"/>
      </w:pPr>
      <w:r>
        <w:rPr>
          <w:rStyle w:val="FootnoteReference"/>
        </w:rPr>
        <w:footnoteRef/>
      </w:r>
      <w:r>
        <w:t xml:space="preserve">
          <w:r>
            <w:t xml:space="preserve">
              <w:r>
                <w:t xml:space="preserve"> Edward Fudge, </w:t>
              </w:r>
              <w:r>
                <w:rPr>
                  <w:i/>
                </w:rPr>
                <w:t xml:space="preserve">The Fire that Consumes</w:t>
              </w:r>
              <w:r>
                <w:t xml:space="preserve">, 74.</w:t>
              </w:r>
            </w:t>
          </w:r>
        </w:t>
      </w:r>
    </w:p>
  </w:footnote>
  <w:footnote w:id="14464">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1496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983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5366">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“Frequent Removals,” Kindle.</w:t>
              </w:r>
            </w:t>
          </w:r>
        </w:t>
      </w:r>
    </w:p>
  </w:footnote>
  <w:footnote w:id="30236">
    <w:p>
      <w:pPr>
        <w:pStyle w:val="FootnoteText"/>
      </w:pPr>
      <w:r>
        <w:rPr>
          <w:rStyle w:val="FootnoteReference"/>
        </w:rPr>
        <w:footnoteRef/>
      </w:r>
      <w:r>
        <w:t xml:space="preserve">
          <w:r>
            <w:t xml:space="preserve">
              <w:r>
                <w:t xml:space="preserve"> Keil and Delitzsch, </w:t>
              </w:r>
              <w:r>
                <w:rPr>
                  <w:i/>
                </w:rPr>
                <w:t xml:space="preserve">Commentary on the Old Testament: Isaiah</w:t>
              </w:r>
              <w:r>
                <w:t xml:space="preserve">, 7:391.</w:t>
              </w:r>
            </w:t>
          </w:r>
        </w:t>
      </w:r>
    </w:p>
  </w:footnote>
  <w:footnote w:id="28322">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53.</w:t>
              </w:r>
            </w:t>
          </w:r>
        </w:t>
      </w:r>
    </w:p>
  </w:footnote>
  <w:footnote w:id="16051">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60.</w:t>
              </w:r>
            </w:t>
          </w:r>
        </w:t>
      </w:r>
    </w:p>
  </w:footnote>
  <w:footnote w:id="20343">
    <w:p>
      <w:pPr>
        <w:pStyle w:val="FootnoteText"/>
      </w:pPr>
      <w:r>
        <w:rPr>
          <w:rStyle w:val="FootnoteReference"/>
        </w:rPr>
        <w:footnoteRef/>
      </w:r>
      <w:r>
        <w:t xml:space="preserve">
          <w:r>
            <w:t xml:space="preserve">
              <w:r>
                <w:t xml:space="preserve"> Cf. John Oswalt, </w:t>
              </w:r>
              <w:r>
                <w:rPr>
                  <w:i/>
                </w:rPr>
                <w:t xml:space="preserve">The Book of Isaiah: Chapters 40-66</w:t>
              </w:r>
              <w:r>
                <w:t xml:space="preserve"> [NICOT], 61.</w:t>
              </w:r>
            </w:t>
          </w:r>
        </w:t>
      </w:r>
    </w:p>
  </w:footnote>
  <w:footnote w:id="19318">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24144">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74.</w:t>
              </w:r>
            </w:t>
          </w:r>
        </w:t>
      </w:r>
    </w:p>
  </w:footnote>
  <w:footnote w:id="14620">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 7:464-65.</w:t>
              </w:r>
            </w:t>
          </w:r>
        </w:t>
      </w:r>
    </w:p>
  </w:footnote>
  <w:footnote w:id="25817">
    <w:p>
      <w:pPr>
        <w:pStyle w:val="FootnoteText"/>
      </w:pPr>
      <w:r>
        <w:rPr>
          <w:rStyle w:val="FootnoteReference"/>
        </w:rPr>
        <w:footnoteRef/>
      </w:r>
      <w:r>
        <w:t xml:space="preserve">
          <w:r>
            <w:t xml:space="preserve">
              <w:r>
                <w:t xml:space="preserve"> Klaus Baltzer,</w:t>
              </w:r>
              <w:r>
                <w:rPr>
                  <w:i/>
                </w:rPr>
                <w:t xml:space="preserve"> Deutero-Isaiah</w:t>
              </w:r>
              <w:r>
                <w:t xml:space="preserve"> [Hermeneia], 312.</w:t>
              </w:r>
            </w:t>
          </w:r>
        </w:t>
      </w:r>
    </w:p>
  </w:footnote>
  <w:footnote w:id="11120">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337.</w:t>
              </w:r>
            </w:t>
          </w:r>
        </w:t>
      </w:r>
    </w:p>
  </w:footnote>
  <w:footnote w:id="30017">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332n17.</w:t>
              </w:r>
            </w:t>
          </w:r>
        </w:t>
      </w:r>
    </w:p>
  </w:footnote>
  <w:footnote w:id="21625">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341-342.</w:t>
              </w:r>
            </w:t>
          </w:r>
        </w:t>
      </w:r>
    </w:p>
  </w:footnote>
  <w:footnote w:id="1158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365.</w:t>
              </w:r>
            </w:t>
          </w:r>
        </w:t>
      </w:r>
    </w:p>
  </w:footnote>
  <w:footnote w:id="18123">
    <w:p>
      <w:pPr>
        <w:pStyle w:val="FootnoteText"/>
      </w:pPr>
      <w:r>
        <w:rPr>
          <w:rStyle w:val="FootnoteReference"/>
        </w:rPr>
        <w:footnoteRef/>
      </w:r>
      <w:r>
        <w:t xml:space="preserve">
          <w:r>
            <w:t xml:space="preserve">
              <w:r>
                <w:t xml:space="preserve"> Edward J. Young, </w:t>
              </w:r>
              <w:r>
                <w:rPr>
                  <w:i/>
                </w:rPr>
                <w:t xml:space="preserve">The Book of Isaiah</w:t>
              </w:r>
              <w:r>
                <w:t xml:space="preserve"> [NICOT].</w:t>
              </w:r>
            </w:t>
          </w:r>
        </w:t>
      </w:r>
    </w:p>
  </w:footnote>
  <w:footnote w:id="18744">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373.</w:t>
              </w:r>
            </w:t>
          </w:r>
        </w:t>
      </w:r>
    </w:p>
  </w:footnote>
  <w:footnote w:id="24442">
    <w:p>
      <w:pPr>
        <w:pStyle w:val="FootnoteText"/>
      </w:pPr>
      <w:r>
        <w:rPr>
          <w:rStyle w:val="FootnoteReference"/>
        </w:rPr>
        <w:footnoteRef/>
      </w:r>
      <w:r>
        <w:t xml:space="preserve">
          <w:r>
            <w:t xml:space="preserve">
              <w:r>
                <w:t xml:space="preserve"> John D. W. Watts [WBC].</w:t>
              </w:r>
            </w:t>
          </w:r>
        </w:t>
      </w:r>
    </w:p>
  </w:footnote>
  <w:footnote w:id="31132">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512.</w:t>
              </w:r>
            </w:t>
          </w:r>
        </w:t>
      </w:r>
    </w:p>
  </w:footnote>
  <w:footnote w:id="16427">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389.</w:t>
              </w:r>
            </w:t>
          </w:r>
        </w:t>
      </w:r>
    </w:p>
  </w:footnote>
  <w:footnote w:id="20561">
    <w:p>
      <w:pPr>
        <w:pStyle w:val="FootnoteText"/>
      </w:pPr>
      <w:r>
        <w:rPr>
          <w:rStyle w:val="FootnoteReference"/>
        </w:rPr>
        <w:footnoteRef/>
      </w:r>
      <w:r>
        <w:t xml:space="preserve">
          <w:r>
            <w:t xml:space="preserve">
              <w:r>
                <w:t xml:space="preserve"> John Watts, </w:t>
              </w:r>
              <w:r>
                <w:rPr>
                  <w:i/>
                </w:rPr>
                <w:t xml:space="preserve">Isaiah 34-66</w:t>
              </w:r>
              <w:r>
                <w:t xml:space="preserve">, revised [WBC], 789.</w:t>
              </w:r>
            </w:t>
          </w:r>
        </w:t>
      </w:r>
    </w:p>
  </w:footnote>
  <w:footnote w:id="12546">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s.v. “Sacrifices and Offerings.”</w:t>
              </w:r>
            </w:t>
          </w:r>
        </w:t>
      </w:r>
    </w:p>
  </w:footnote>
  <w:footnote w:id="29857">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w:t>
              </w:r>
            </w:t>
          </w:r>
        </w:t>
      </w:r>
    </w:p>
  </w:footnote>
  <w:footnote w:id="30894">
    <w:p>
      <w:pPr>
        <w:pStyle w:val="FootnoteText"/>
      </w:pPr>
      <w:r>
        <w:rPr>
          <w:rStyle w:val="FootnoteReference"/>
        </w:rPr>
        <w:footnoteRef/>
      </w:r>
      <w:r>
        <w:t xml:space="preserve">
          <w:r>
            <w:t xml:space="preserve">
              <w:r>
                <w:t xml:space="preserve"> James B. Pritchard, ed., </w:t>
              </w:r>
              <w:r>
                <w:rPr>
                  <w:i/>
                </w:rPr>
                <w:t xml:space="preserve">Ancient Near Eastern Texts</w:t>
              </w:r>
              <w:r>
                <w:t xml:space="preserve">, 276.</w:t>
              </w:r>
            </w:t>
          </w:r>
        </w:t>
      </w:r>
    </w:p>
  </w:footnote>
  <w:footnote w:id="17811">
    <w:p>
      <w:pPr>
        <w:pStyle w:val="FootnoteText"/>
      </w:pPr>
      <w:r>
        <w:rPr>
          <w:rStyle w:val="FootnoteReference"/>
        </w:rPr>
        <w:footnoteRef/>
      </w:r>
      <w:r>
        <w:t xml:space="preserve">
          <w:r>
            <w:t xml:space="preserve">
              <w:r>
                <w:t xml:space="preserve"> Pritchard, ed., </w:t>
              </w:r>
              <w:r>
                <w:rPr>
                  <w:i/>
                </w:rPr>
                <w:t xml:space="preserve">Ancient Near Eastern Texts</w:t>
              </w:r>
              <w:r>
                <w:t xml:space="preserve">, 276.</w:t>
              </w:r>
            </w:t>
          </w:r>
        </w:t>
      </w:r>
    </w:p>
  </w:footnote>
  <w:footnote w:id="14817">
    <w:p>
      <w:pPr>
        <w:pStyle w:val="FootnoteText"/>
      </w:pPr>
      <w:r>
        <w:rPr>
          <w:rStyle w:val="FootnoteReference"/>
        </w:rPr>
        <w:footnoteRef/>
      </w:r>
      <w:r>
        <w:t xml:space="preserve">
          <w:r>
            <w:t xml:space="preserve">
              <w:r>
                <w:t xml:space="preserve"> Pritchard, ed., </w:t>
              </w:r>
              <w:r>
                <w:rPr>
                  <w:i/>
                </w:rPr>
                <w:t xml:space="preserve">Ancient Near Eastern Texts</w:t>
              </w:r>
              <w:r>
                <w:t xml:space="preserve">, 277.</w:t>
              </w:r>
            </w:t>
          </w:r>
        </w:t>
      </w:r>
    </w:p>
  </w:footnote>
  <w:footnote w:id="18681">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7:545-46.</w:t>
              </w:r>
            </w:t>
          </w:r>
        </w:t>
      </w:r>
    </w:p>
  </w:footnote>
  <w:footnote w:id="17308">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7:546.</w:t>
              </w:r>
            </w:t>
          </w:r>
        </w:t>
      </w:r>
    </w:p>
  </w:footnote>
  <w:footnote w:id="14020">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18.</w:t>
              </w:r>
            </w:t>
          </w:r>
        </w:t>
      </w:r>
    </w:p>
  </w:footnote>
  <w:footnote w:id="15673">
    <w:p>
      <w:pPr>
        <w:pStyle w:val="FootnoteText"/>
      </w:pPr>
      <w:r>
        <w:rPr>
          <w:rStyle w:val="FootnoteReference"/>
        </w:rPr>
        <w:footnoteRef/>
      </w:r>
      <w:r>
        <w:t xml:space="preserve">
          <w:r>
            <w:t xml:space="preserve">
              <w:r>
                <w:t xml:space="preserve"> Gary Smith, </w:t>
              </w:r>
              <w:r>
                <w:rPr>
                  <w:i/>
                </w:rPr>
                <w:t xml:space="preserve">Isaiah 40-66</w:t>
              </w:r>
              <w:r>
                <w:t xml:space="preserve"> [NAC].</w:t>
              </w:r>
            </w:t>
          </w:r>
        </w:t>
      </w:r>
    </w:p>
  </w:footnote>
  <w:footnote w:id="32756">
    <w:p>
      <w:pPr>
        <w:pStyle w:val="FootnoteText"/>
      </w:pPr>
      <w:r>
        <w:rPr>
          <w:rStyle w:val="FootnoteReference"/>
        </w:rPr>
        <w:footnoteRef/>
      </w:r>
      <w:r>
        <w:t xml:space="preserve">
          <w:r>
            <w:t xml:space="preserve">
              <w:r>
                <w:t xml:space="preserve"> See John Oswalt, </w:t>
              </w:r>
              <w:r>
                <w:rPr>
                  <w:i/>
                </w:rPr>
                <w:t xml:space="preserve">The Book of Isaiah: Chapters 40-66</w:t>
              </w:r>
              <w:r>
                <w:t xml:space="preserve"> [NICOT].</w:t>
              </w:r>
            </w:t>
          </w:r>
        </w:t>
      </w:r>
    </w:p>
  </w:footnote>
  <w:footnote w:id="22075">
    <w:p>
      <w:pPr>
        <w:pStyle w:val="FootnoteText"/>
      </w:pPr>
      <w:r>
        <w:rPr>
          <w:rStyle w:val="FootnoteReference"/>
        </w:rPr>
        <w:footnoteRef/>
      </w:r>
      <w:r>
        <w:t xml:space="preserve">
          <w:r>
            <w:t xml:space="preserve">
              <w:r>
                <w:t xml:space="preserve"> Cf. </w:t>
              </w:r>
              <w:r>
                <w:rPr>
                  <w:i/>
                </w:rPr>
                <w:t xml:space="preserve">Merriam-Webster Dictionary</w:t>
              </w:r>
              <w:r>
                <w:t xml:space="preserve">, s.v. “contrite.”</w:t>
              </w:r>
            </w:t>
          </w:r>
        </w:t>
      </w:r>
    </w:p>
  </w:footnote>
  <w:footnote w:id="13306">
    <w:p>
      <w:pPr>
        <w:pStyle w:val="FootnoteText"/>
      </w:pPr>
      <w:r>
        <w:rPr>
          <w:rStyle w:val="FootnoteReference"/>
        </w:rPr>
        <w:footnoteRef/>
      </w:r>
      <w:r>
        <w:t xml:space="preserve">
          <w:r>
            <w:t xml:space="preserve">
              <w:r>
                <w:t xml:space="preserve"> C. F. Keil and F. Delitzsch, </w:t>
              </w:r>
              <w:r>
                <w:rPr>
                  <w:i/>
                </w:rPr>
                <w:t xml:space="preserve">Commentary on the Old Testament: Isaiah</w:t>
              </w:r>
              <w:r>
                <w:t xml:space="preserve">, 7:640.</w:t>
              </w:r>
            </w:t>
          </w:r>
        </w:t>
      </w:r>
    </w:p>
  </w:footnote>
  <w:footnote w:id="24708">
    <w:p>
      <w:pPr>
        <w:pStyle w:val="FootnoteText"/>
      </w:pPr>
      <w:r>
        <w:rPr>
          <w:rStyle w:val="FootnoteReference"/>
        </w:rPr>
        <w:footnoteRef/>
      </w:r>
      <w:r>
        <w:t xml:space="preserve">
          <w:r>
            <w:t xml:space="preserve">
              <w:r>
                <w:t xml:space="preserve"> Christopher Date, Gregory Stump, Joshua Anderson, eds., </w:t>
              </w:r>
              <w:r>
                <w:rPr>
                  <w:i/>
                </w:rPr>
                <w:t xml:space="preserve">Rethinking Hell</w:t>
              </w:r>
              <w:r>
                <w:t xml:space="preserve">, 36.</w:t>
              </w:r>
            </w:t>
          </w:r>
        </w:t>
      </w:r>
    </w:p>
  </w:footnote>
  <w:footnote w:id="28885">
    <w:p>
      <w:pPr>
        <w:pStyle w:val="FootnoteText"/>
      </w:pPr>
      <w:r>
        <w:rPr>
          <w:rStyle w:val="FootnoteReference"/>
        </w:rPr>
        <w:footnoteRef/>
      </w:r>
      <w:r>
        <w:t xml:space="preserve">
          <w:r>
            <w:t xml:space="preserve">
              <w:r>
                <w:t xml:space="preserve"> Warren Prestidge, </w:t>
              </w:r>
              <w:r>
                <w:rPr>
                  <w:i/>
                </w:rPr>
                <w:t xml:space="preserve">Life, Death, and Destiny</w:t>
              </w:r>
              <w:r>
                <w:t xml:space="preserve">, 82-83.</w:t>
              </w:r>
            </w:t>
          </w:r>
        </w:t>
      </w:r>
    </w:p>
  </w:footnote>
  <w:footnote w:id="23074">
    <w:p>
      <w:pPr>
        <w:pStyle w:val="FootnoteText"/>
      </w:pPr>
      <w:r>
        <w:rPr>
          <w:rStyle w:val="FootnoteReference"/>
        </w:rPr>
        <w:footnoteRef/>
      </w:r>
      <w:r>
        <w:t xml:space="preserve">
          <w:r>
            <w:t xml:space="preserve">
              <w:r>
                <w:t xml:space="preserve"> Helaine Burch, </w:t>
              </w:r>
              <w:r>
                <w:rPr>
                  <w:i/>
                </w:rPr>
                <w:t xml:space="preserve">Asleep in Christ</w:t>
              </w:r>
              <w:r>
                <w:t xml:space="preserve">, 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159924">
    <w:multiLevelType w:val="hybridMultilevel"/>
    <w:lvl w:ilvl="0" w:tplc="38195931">
      <w:start w:val="1"/>
      <w:numFmt w:val="decimal"/>
      <w:lvlText w:val="%1."/>
      <w:lvlJc w:val="left"/>
      <w:pPr>
        <w:ind w:left="720" w:hanging="360"/>
      </w:pPr>
    </w:lvl>
    <w:lvl w:ilvl="1" w:tplc="38195931" w:tentative="1">
      <w:start w:val="1"/>
      <w:numFmt w:val="lowerLetter"/>
      <w:lvlText w:val="%2."/>
      <w:lvlJc w:val="left"/>
      <w:pPr>
        <w:ind w:left="1440" w:hanging="360"/>
      </w:pPr>
    </w:lvl>
    <w:lvl w:ilvl="2" w:tplc="38195931" w:tentative="1">
      <w:start w:val="1"/>
      <w:numFmt w:val="lowerRoman"/>
      <w:lvlText w:val="%3."/>
      <w:lvlJc w:val="right"/>
      <w:pPr>
        <w:ind w:left="2160" w:hanging="180"/>
      </w:pPr>
    </w:lvl>
    <w:lvl w:ilvl="3" w:tplc="38195931" w:tentative="1">
      <w:start w:val="1"/>
      <w:numFmt w:val="decimal"/>
      <w:lvlText w:val="%4."/>
      <w:lvlJc w:val="left"/>
      <w:pPr>
        <w:ind w:left="2880" w:hanging="360"/>
      </w:pPr>
    </w:lvl>
    <w:lvl w:ilvl="4" w:tplc="38195931" w:tentative="1">
      <w:start w:val="1"/>
      <w:numFmt w:val="lowerLetter"/>
      <w:lvlText w:val="%5."/>
      <w:lvlJc w:val="left"/>
      <w:pPr>
        <w:ind w:left="3600" w:hanging="360"/>
      </w:pPr>
    </w:lvl>
    <w:lvl w:ilvl="5" w:tplc="38195931" w:tentative="1">
      <w:start w:val="1"/>
      <w:numFmt w:val="lowerRoman"/>
      <w:lvlText w:val="%6."/>
      <w:lvlJc w:val="right"/>
      <w:pPr>
        <w:ind w:left="4320" w:hanging="180"/>
      </w:pPr>
    </w:lvl>
    <w:lvl w:ilvl="6" w:tplc="38195931" w:tentative="1">
      <w:start w:val="1"/>
      <w:numFmt w:val="decimal"/>
      <w:lvlText w:val="%7."/>
      <w:lvlJc w:val="left"/>
      <w:pPr>
        <w:ind w:left="5040" w:hanging="360"/>
      </w:pPr>
    </w:lvl>
    <w:lvl w:ilvl="7" w:tplc="38195931" w:tentative="1">
      <w:start w:val="1"/>
      <w:numFmt w:val="lowerLetter"/>
      <w:lvlText w:val="%8."/>
      <w:lvlJc w:val="left"/>
      <w:pPr>
        <w:ind w:left="5760" w:hanging="360"/>
      </w:pPr>
    </w:lvl>
    <w:lvl w:ilvl="8" w:tplc="38195931" w:tentative="1">
      <w:start w:val="1"/>
      <w:numFmt w:val="lowerRoman"/>
      <w:lvlText w:val="%9."/>
      <w:lvlJc w:val="right"/>
      <w:pPr>
        <w:ind w:left="6480" w:hanging="180"/>
      </w:pPr>
    </w:lvl>
  </w:abstractNum>
  <w:abstractNum w:abstractNumId="28506">
    <w:multiLevelType w:val="hybridMultilevel"/>
    <w:lvl w:ilvl="0" w:tplc="284915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06">
    <w:abstractNumId w:val="28506"/>
  </w:num>
  <w:num w:numId="61159924">
    <w:abstractNumId w:val="611599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8141173" Type="http://schemas.openxmlformats.org/officeDocument/2006/relationships/numbering" Target="numbering.xml"/><Relationship Id="rId393382413" Type="http://schemas.openxmlformats.org/officeDocument/2006/relationships/comments" Target="comments.xml"/><Relationship Id="rId18786862ad595aa49" Type="http://schemas.openxmlformats.org/officeDocument/2006/relationships/footer" Target="defaultFooter.xml"/><Relationship Id="rId94946862ad5a95176"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