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FootnoteReference"/>
        </w:rPr>
        <w:footnoteReference w:id="20442"/>
      </w:r>
      <w:r>
        <w:rPr/>
        <w:t xml:space="preserve"> and 20,000 cors of barley, and 20,000 baths of wine,</w:t>
      </w:r>
      <w:r>
        <w:rPr>
          <w:rStyle w:val="FootnoteReference"/>
        </w:rPr>
        <w:footnoteReference w:id="12654"/>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FootnoteReference"/>
        </w:rPr>
        <w:footnoteReference w:id="31486"/>
      </w:r>
      <w:r>
        <w:rPr/>
        <w:t xml:space="preserve"> and the width 20 cubits.</w:t>
      </w:r>
      <w:r>
        <w:rPr>
          <w:rStyle w:val="FootnoteReference"/>
        </w:rPr>
        <w:footnoteReference w:id="11225"/>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FootnoteReference"/>
        </w:rPr>
        <w:footnoteReference w:id="27899"/>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FootnoteReference"/>
        </w:rPr>
        <w:footnoteReference w:id="23774"/>
      </w:r>
      <w:r>
        <w:rPr/>
        <w:t xml:space="preserve"> and its depth was 20 cubits, and he overlaid it with fine gold, amounting to 600 talents.</w:t>
      </w:r>
      <w:r>
        <w:rPr>
          <w:rStyle w:val="FootnoteReference"/>
        </w:rPr>
        <w:footnoteReference w:id="16802"/>
      </w:r>
      <w:r>
        <w:rPr/>
        <w:t xml:space="preserve"> </w:t>
      </w:r>
      <w:r>
        <w:rPr>
          <w:rStyle w:val="rSupStyle"/>
          <w:vertAlign w:val="superscript"/>
        </w:rPr>
        <w:t xml:space="preserve">9</w:t>
      </w:r>
      <w:r>
        <w:rPr/>
        <w:t xml:space="preserve">The weight of the nails was 50 shekels of gold.</w:t>
      </w:r>
      <w:r>
        <w:rPr>
          <w:rStyle w:val="FootnoteReference"/>
        </w:rPr>
        <w:footnoteReference w:id="21145"/>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FootnoteReference"/>
        </w:rPr>
        <w:footnoteReference w:id="32029"/>
      </w:r>
      <w:r>
        <w:rPr/>
        <w:t xml:space="preserve"> one wing </w:t>
      </w:r>
      <w:r>
        <w:rPr>
          <w:i/>
          <w:iCs/>
        </w:rPr>
        <w:t xml:space="preserve">of one cherub</w:t>
      </w:r>
      <w:r>
        <w:rPr/>
        <w:t xml:space="preserve"> was five cubits,</w:t>
      </w:r>
      <w:r>
        <w:rPr>
          <w:rStyle w:val="FootnoteReference"/>
        </w:rPr>
        <w:footnoteReference w:id="32144"/>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FootnoteReference"/>
        </w:rPr>
        <w:footnoteReference w:id="14624"/>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FootnoteReference"/>
        </w:rPr>
        <w:footnoteReference w:id="30419"/>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FootnoteReference"/>
        </w:rPr>
        <w:footnoteReference w:id="17204"/>
      </w:r>
      <w:r>
        <w:rPr/>
        <w:t xml:space="preserve"> and 20 cubits wide, and ten cubits</w:t>
      </w:r>
      <w:r>
        <w:rPr>
          <w:rStyle w:val="FootnoteReference"/>
        </w:rPr>
        <w:footnoteReference w:id="26471"/>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FootnoteReference"/>
        </w:rPr>
        <w:footnoteReference w:id="20905"/>
      </w:r>
      <w:r>
        <w:rPr/>
        <w:t xml:space="preserve"> from brim to brim, circular in form, and its height was five cubits</w:t>
      </w:r>
      <w:r>
        <w:rPr>
          <w:rStyle w:val="FootnoteReference"/>
        </w:rPr>
        <w:footnoteReference w:id="29324"/>
      </w:r>
      <w:r>
        <w:rPr/>
        <w:t xml:space="preserve"> and its circumference was 30 cubits.</w:t>
      </w:r>
      <w:r>
        <w:rPr>
          <w:rStyle w:val="FootnoteReference"/>
        </w:rPr>
        <w:footnoteReference w:id="20347"/>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FootnoteReference"/>
        </w:rPr>
        <w:footnoteReference w:id="14104"/>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FootnoteReference"/>
        </w:rPr>
        <w:footnoteReference w:id="20657"/>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FootnoteReference"/>
        </w:rPr>
        <w:footnoteReference w:id="19035"/>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FootnoteReference"/>
        </w:rPr>
        <w:footnoteReference w:id="11478"/>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FootnoteReference"/>
        </w:rPr>
        <w:footnoteReference w:id="12532"/>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FootnoteReference"/>
        </w:rPr>
        <w:footnoteReference w:id="22581"/>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FootnoteReference"/>
        </w:rPr>
        <w:footnoteReference w:id="25514"/>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FootnoteReference"/>
        </w:rPr>
        <w:footnoteReference w:id="20199"/>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FootnoteReference"/>
        </w:rPr>
        <w:footnoteReference w:id="11187"/>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FootnoteReference"/>
        </w:rPr>
        <w:footnoteReference w:id="16884"/>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FootnoteReference"/>
        </w:rPr>
        <w:footnoteReference w:id="17149"/>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FootnoteReference"/>
        </w:rPr>
        <w:footnoteReference w:id="22630"/>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FootnoteReference"/>
        </w:rPr>
        <w:footnoteReference w:id="28857"/>
      </w:r>
      <w:r>
        <w:rPr/>
        <w:t xml:space="preserve"> </w:t>
      </w:r>
      <w:r>
        <w:rPr>
          <w:rStyle w:val="rSupStyle"/>
          <w:vertAlign w:val="superscript"/>
        </w:rPr>
        <w:t xml:space="preserve">6</w:t>
      </w:r>
      <w:r>
        <w:rPr/>
        <w:t xml:space="preserve">He returned to be healed in Jezreel of the wounds that they had struck him with at Ramah</w:t>
      </w:r>
      <w:r>
        <w:rPr>
          <w:rStyle w:val="FootnoteReference"/>
        </w:rPr>
        <w:footnoteReference w:id="31002"/>
      </w:r>
      <w:r>
        <w:rPr/>
        <w:t xml:space="preserve"> when he fought against Hazael king of Syria. So Azariah</w:t>
      </w:r>
      <w:r>
        <w:rPr>
          <w:rStyle w:val="FootnoteReference"/>
        </w:rPr>
        <w:footnoteReference w:id="28901"/>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FootnoteReference"/>
        </w:rPr>
        <w:footnoteReference w:id="23322"/>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FootnoteReference"/>
        </w:rPr>
        <w:footnoteReference w:id="14179"/>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of the Levites who are ministering.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FootnoteReference"/>
        </w:rPr>
        <w:footnoteReference w:id="13979"/>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FootnoteReference"/>
        </w:rPr>
        <w:footnoteReference w:id="23836"/>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FootnoteReference"/>
        </w:rPr>
        <w:footnoteReference w:id="18038"/>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FootnoteReference"/>
        </w:rPr>
        <w:footnoteReference w:id="17747"/>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FootnoteReference"/>
        </w:rPr>
        <w:footnoteReference w:id="31361"/>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w:t>
      </w:r>
      <w:r>
        <w:rPr>
          <w:rStyle w:val="FootnoteReference"/>
        </w:rPr>
        <w:footnoteReference w:id="15958"/>
      </w:r>
      <w:r>
        <w:rPr/>
        <w:t xml:space="preserve"> at Beth-shemesh and brought him to Jerusalem and broke down the wall of Jerusalem from the Gate of Ephraim to the Corner Gate, 400 cubits.</w:t>
      </w:r>
      <w:r>
        <w:rPr>
          <w:rStyle w:val="FootnoteReference"/>
        </w:rPr>
        <w:footnoteReference w:id="9999"/>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FootnoteReference"/>
        </w:rPr>
        <w:footnoteReference w:id="29677"/>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FootnoteReference"/>
        </w:rPr>
        <w:footnoteReference w:id="20892"/>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FootnoteReference"/>
        </w:rPr>
        <w:footnoteReference w:id="17657"/>
      </w:r>
      <w:r>
        <w:rPr/>
        <w:t xml:space="preserve"> and 10,000 cors</w:t>
      </w:r>
      <w:r>
        <w:rPr>
          <w:rStyle w:val="FootnoteReference"/>
        </w:rPr>
        <w:footnoteReference w:id="32127"/>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slaughtered the bulls, and the priests took the blood and threw it on the altar, and they slaughtered the rams and threw the blood on the altar, and they also slaughtered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slaughtered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FootnoteReference"/>
        </w:rPr>
        <w:footnoteReference w:id="15058"/>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FootnoteReference"/>
        </w:rPr>
        <w:footnoteReference w:id="31805"/>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FootnoteReference"/>
        </w:rPr>
        <w:footnoteReference w:id="30680"/>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FootnoteReference"/>
        </w:rPr>
        <w:footnoteReference w:id="20734"/>
      </w:r>
      <w:r>
        <w:rPr/>
        <w:t xml:space="preserve"> spoke to him and gave him a sign. </w:t>
      </w:r>
      <w:r>
        <w:rPr>
          <w:rStyle w:val="rSupStyle"/>
          <w:vertAlign w:val="superscript"/>
        </w:rPr>
        <w:t xml:space="preserve">25</w:t>
      </w:r>
      <w:r>
        <w:rPr/>
        <w:t xml:space="preserve">But Hezekiah did not respond according to the benefit he received,</w:t>
      </w:r>
      <w:r>
        <w:rPr>
          <w:rStyle w:val="FootnoteReference"/>
        </w:rPr>
        <w:footnoteReference w:id="31840"/>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FootnoteReference"/>
        </w:rPr>
        <w:footnoteReference w:id="13342"/>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FootnoteReference"/>
        </w:rPr>
        <w:footnoteReference w:id="18219"/>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FootnoteReference"/>
        </w:rPr>
        <w:footnoteReference w:id="11951"/>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FootnoteReference"/>
        </w:rPr>
        <w:footnoteReference w:id="30793"/>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threw </w:t>
      </w:r>
      <w:r>
        <w:rPr>
          <w:i/>
          <w:iCs/>
        </w:rPr>
        <w:t xml:space="preserve">the blood that they received</w:t>
      </w:r>
      <w:r>
        <w:rPr/>
        <w:t xml:space="preserve"> from them,</w:t>
      </w:r>
      <w:r>
        <w:rPr>
          <w:rStyle w:val="FootnoteReference"/>
        </w:rPr>
        <w:footnoteReference w:id="30437"/>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FootnoteReference"/>
        </w:rPr>
        <w:footnoteReference w:id="21440"/>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FootnoteReference"/>
        </w:rPr>
        <w:footnoteReference w:id="21516"/>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18656862ad36c5be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282211"/>
      <w:docPartObj>
        <w:docPartGallery w:val="Page Numbers (Bottom of Page)"/>
        <w:docPartUnique/>
      </w:docPartObj>
    </w:sdtPr>
    <w:sdtContent>
      <w:sdt>
        <w:sdtPr>
          <w:id w:val="6635882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442">
    <w:p>
      <w:pPr>
        <w:pStyle w:val="FootnoteText"/>
      </w:pPr>
      <w:r>
        <w:rPr>
          <w:rStyle w:val="FootnoteReference"/>
        </w:rPr>
        <w:footnoteRef/>
      </w:r>
      <w:r>
        <w:t xml:space="preserve">
          <w:r>
            <w:t xml:space="preserve">
              <w:r>
                <w:t xml:space="preserve"> A cor is about 6 bushels (220 liters), thus about 120,000 bushels total</w:t>
              </w:r>
            </w:t>
          </w:r>
        </w:t>
      </w:r>
    </w:p>
  </w:footnote>
  <w:footnote w:id="12654">
    <w:p>
      <w:pPr>
        <w:pStyle w:val="FootnoteText"/>
      </w:pPr>
      <w:r>
        <w:rPr>
          <w:rStyle w:val="FootnoteReference"/>
        </w:rPr>
        <w:footnoteRef/>
      </w:r>
      <w:r>
        <w:t xml:space="preserve">
          <w:r>
            <w:t xml:space="preserve">
              <w:r>
                <w:t xml:space="preserve"> A bath is about 6 gallons (22 liters), thus about 120,000 gallons total</w:t>
              </w:r>
            </w:t>
          </w:r>
        </w:t>
      </w:r>
    </w:p>
  </w:footnote>
  <w:footnote w:id="31486">
    <w:p>
      <w:pPr>
        <w:pStyle w:val="FootnoteText"/>
      </w:pPr>
      <w:r>
        <w:rPr>
          <w:rStyle w:val="FootnoteReference"/>
        </w:rPr>
        <w:footnoteRef/>
      </w:r>
      <w:r>
        <w:t xml:space="preserve">
          <w:r>
            <w:t xml:space="preserve">
              <w:r>
                <w:t xml:space="preserve"> About 90 feet (27.4 meters)</w:t>
              </w:r>
            </w:t>
          </w:r>
        </w:t>
      </w:r>
    </w:p>
  </w:footnote>
  <w:footnote w:id="11225">
    <w:p>
      <w:pPr>
        <w:pStyle w:val="FootnoteText"/>
      </w:pPr>
      <w:r>
        <w:rPr>
          <w:rStyle w:val="FootnoteReference"/>
        </w:rPr>
        <w:footnoteRef/>
      </w:r>
      <w:r>
        <w:t xml:space="preserve">
          <w:r>
            <w:t xml:space="preserve">
              <w:r>
                <w:t xml:space="preserve"> About 30 feet (9.1 meters)</w:t>
              </w:r>
            </w:t>
          </w:r>
        </w:t>
      </w:r>
    </w:p>
  </w:footnote>
  <w:footnote w:id="27899">
    <w:p>
      <w:pPr>
        <w:pStyle w:val="FootnoteText"/>
      </w:pPr>
      <w:r>
        <w:rPr>
          <w:rStyle w:val="FootnoteReference"/>
        </w:rPr>
        <w:footnoteRef/>
      </w:r>
      <w:r>
        <w:t xml:space="preserve">
          <w:r>
            <w:t xml:space="preserve">
              <w:r>
                <w:t xml:space="preserve"> Or 30 feet (9.1 meters)</w:t>
              </w:r>
            </w:t>
          </w:r>
        </w:t>
      </w:r>
    </w:p>
  </w:footnote>
  <w:footnote w:id="23774">
    <w:p>
      <w:pPr>
        <w:pStyle w:val="FootnoteText"/>
      </w:pPr>
      <w:r>
        <w:rPr>
          <w:rStyle w:val="FootnoteReference"/>
        </w:rPr>
        <w:footnoteRef/>
      </w:r>
      <w:r>
        <w:t xml:space="preserve">
          <w:r>
            <w:t xml:space="preserve">
              <w:r>
                <w:t xml:space="preserve"> 30 feet (9.1 meters)</w:t>
              </w:r>
            </w:t>
          </w:r>
        </w:t>
      </w:r>
    </w:p>
  </w:footnote>
  <w:footnote w:id="16802">
    <w:p>
      <w:pPr>
        <w:pStyle w:val="FootnoteText"/>
      </w:pPr>
      <w:r>
        <w:rPr>
          <w:rStyle w:val="FootnoteReference"/>
        </w:rPr>
        <w:footnoteRef/>
      </w:r>
      <w:r>
        <w:t xml:space="preserve">
          <w:r>
            <w:t xml:space="preserve">
              <w:r>
                <w:t xml:space="preserve"> Roughly 45,000 pounds (20,411 kilograms)</w:t>
              </w:r>
            </w:t>
          </w:r>
        </w:t>
      </w:r>
    </w:p>
  </w:footnote>
  <w:footnote w:id="21145">
    <w:p>
      <w:pPr>
        <w:pStyle w:val="FootnoteText"/>
      </w:pPr>
      <w:r>
        <w:rPr>
          <w:rStyle w:val="FootnoteReference"/>
        </w:rPr>
        <w:footnoteRef/>
      </w:r>
      <w:r>
        <w:t xml:space="preserve">
          <w:r>
            <w:t xml:space="preserve">
              <w:r>
                <w:t xml:space="preserve"> Roughly 1.25 pounds (567 grams)</w:t>
              </w:r>
            </w:t>
          </w:r>
        </w:t>
      </w:r>
    </w:p>
  </w:footnote>
  <w:footnote w:id="32029">
    <w:p>
      <w:pPr>
        <w:pStyle w:val="FootnoteText"/>
      </w:pPr>
      <w:r>
        <w:rPr>
          <w:rStyle w:val="FootnoteReference"/>
        </w:rPr>
        <w:footnoteRef/>
      </w:r>
      <w:r>
        <w:t xml:space="preserve">
          <w:r>
            <w:t xml:space="preserve">
              <w:r>
                <w:t xml:space="preserve"> Roughly 30 feet (9.1 meters)</w:t>
              </w:r>
            </w:t>
          </w:r>
        </w:t>
      </w:r>
    </w:p>
  </w:footnote>
  <w:footnote w:id="32144">
    <w:p>
      <w:pPr>
        <w:pStyle w:val="FootnoteText"/>
      </w:pPr>
      <w:r>
        <w:rPr>
          <w:rStyle w:val="FootnoteReference"/>
        </w:rPr>
        <w:footnoteRef/>
      </w:r>
      <w:r>
        <w:t xml:space="preserve">
          <w:r>
            <w:t xml:space="preserve">
              <w:r>
                <w:t xml:space="preserve"> Roughly 7.5 feet (2.3 meters)</w:t>
              </w:r>
            </w:t>
          </w:r>
        </w:t>
      </w:r>
    </w:p>
  </w:footnote>
  <w:footnote w:id="14624">
    <w:p>
      <w:pPr>
        <w:pStyle w:val="FootnoteText"/>
      </w:pPr>
      <w:r>
        <w:rPr>
          <w:rStyle w:val="FootnoteReference"/>
        </w:rPr>
        <w:footnoteRef/>
      </w:r>
      <w:r>
        <w:t xml:space="preserve">
          <w:r>
            <w:t xml:space="preserve">
              <w:r>
                <w:t xml:space="preserve"> Roughly 52.5 feet (16 meters)</w:t>
              </w:r>
            </w:t>
          </w:r>
        </w:t>
      </w:r>
    </w:p>
  </w:footnote>
  <w:footnote w:id="30419">
    <w:p>
      <w:pPr>
        <w:pStyle w:val="FootnoteText"/>
      </w:pPr>
      <w:r>
        <w:rPr>
          <w:rStyle w:val="FootnoteReference"/>
        </w:rPr>
        <w:footnoteRef/>
      </w:r>
      <w:r>
        <w:t xml:space="preserve">
          <w:r>
            <w:t xml:space="preserve">
              <w:r>
                <w:t xml:space="preserve"> MT reads “in the Holy of Holies”</w:t>
              </w:r>
            </w:t>
          </w:r>
        </w:t>
      </w:r>
    </w:p>
  </w:footnote>
  <w:footnote w:id="17204">
    <w:p>
      <w:pPr>
        <w:pStyle w:val="FootnoteText"/>
      </w:pPr>
      <w:r>
        <w:rPr>
          <w:rStyle w:val="FootnoteReference"/>
        </w:rPr>
        <w:footnoteRef/>
      </w:r>
      <w:r>
        <w:t xml:space="preserve">
          <w:r>
            <w:t xml:space="preserve">
              <w:r>
                <w:t xml:space="preserve"> 30 feet (9.1 meters)</w:t>
              </w:r>
            </w:t>
          </w:r>
        </w:t>
      </w:r>
    </w:p>
  </w:footnote>
  <w:footnote w:id="26471">
    <w:p>
      <w:pPr>
        <w:pStyle w:val="FootnoteText"/>
      </w:pPr>
      <w:r>
        <w:rPr>
          <w:rStyle w:val="FootnoteReference"/>
        </w:rPr>
        <w:footnoteRef/>
      </w:r>
      <w:r>
        <w:t xml:space="preserve">
          <w:r>
            <w:t xml:space="preserve">
              <w:r>
                <w:t xml:space="preserve"> 15 feet (4.6 meters)</w:t>
              </w:r>
            </w:t>
          </w:r>
        </w:t>
      </w:r>
    </w:p>
  </w:footnote>
  <w:footnote w:id="20905">
    <w:p>
      <w:pPr>
        <w:pStyle w:val="FootnoteText"/>
      </w:pPr>
      <w:r>
        <w:rPr>
          <w:rStyle w:val="FootnoteReference"/>
        </w:rPr>
        <w:footnoteRef/>
      </w:r>
      <w:r>
        <w:t xml:space="preserve">
          <w:r>
            <w:t xml:space="preserve">
              <w:r>
                <w:t xml:space="preserve"> 15 feet (4.6 meters)</w:t>
              </w:r>
            </w:t>
          </w:r>
        </w:t>
      </w:r>
    </w:p>
  </w:footnote>
  <w:footnote w:id="29324">
    <w:p>
      <w:pPr>
        <w:pStyle w:val="FootnoteText"/>
      </w:pPr>
      <w:r>
        <w:rPr>
          <w:rStyle w:val="FootnoteReference"/>
        </w:rPr>
        <w:footnoteRef/>
      </w:r>
      <w:r>
        <w:t xml:space="preserve">
          <w:r>
            <w:t xml:space="preserve">
              <w:r>
                <w:t xml:space="preserve"> 7.5 feet (2.3 meters)</w:t>
              </w:r>
            </w:t>
          </w:r>
        </w:t>
      </w:r>
    </w:p>
  </w:footnote>
  <w:footnote w:id="20347">
    <w:p>
      <w:pPr>
        <w:pStyle w:val="FootnoteText"/>
      </w:pPr>
      <w:r>
        <w:rPr>
          <w:rStyle w:val="FootnoteReference"/>
        </w:rPr>
        <w:footnoteRef/>
      </w:r>
      <w:r>
        <w:t xml:space="preserve">
          <w:r>
            <w:t xml:space="preserve">
              <w:r>
                <w:t xml:space="preserve"> 45 feet (13.7 meters)</w:t>
              </w:r>
            </w:t>
          </w:r>
        </w:t>
      </w:r>
    </w:p>
  </w:footnote>
  <w:footnote w:id="14104">
    <w:p>
      <w:pPr>
        <w:pStyle w:val="FootnoteText"/>
      </w:pPr>
      <w:r>
        <w:rPr>
          <w:rStyle w:val="FootnoteReference"/>
        </w:rPr>
        <w:footnoteRef/>
      </w:r>
      <w:r>
        <w:t xml:space="preserve">
          <w:r>
            <w:t xml:space="preserve">
              <w:r>
                <w:t xml:space="preserve"> The Hebrew word is related to “speaking” or “word.”</w:t>
              </w:r>
            </w:t>
          </w:r>
        </w:t>
      </w:r>
    </w:p>
  </w:footnote>
  <w:footnote w:id="20657">
    <w:p>
      <w:pPr>
        <w:pStyle w:val="FootnoteText"/>
      </w:pPr>
      <w:r>
        <w:rPr>
          <w:rStyle w:val="FootnoteReference"/>
        </w:rPr>
        <w:footnoteRef/>
      </w:r>
      <w:r>
        <w:t xml:space="preserve">
          <w:r>
            <w:t xml:space="preserve">
              <w:r>
                <w:t xml:space="preserve"> Or “had given”</w:t>
              </w:r>
            </w:t>
          </w:r>
        </w:t>
      </w:r>
    </w:p>
  </w:footnote>
  <w:footnote w:id="19035">
    <w:p>
      <w:pPr>
        <w:pStyle w:val="FootnoteText"/>
      </w:pPr>
      <w:r>
        <w:rPr>
          <w:rStyle w:val="FootnoteReference"/>
        </w:rPr>
        <w:footnoteRef/>
      </w:r>
      <w:r>
        <w:t xml:space="preserve">
          <w:r>
            <w:t xml:space="preserve">
              <w:r>
                <w:t xml:space="preserve"> The “you” is plural; 1 Kings 9:6 says “you or your children”</w:t>
              </w:r>
            </w:t>
          </w:r>
        </w:t>
      </w:r>
    </w:p>
  </w:footnote>
  <w:footnote w:id="11478">
    <w:p>
      <w:pPr>
        <w:pStyle w:val="FootnoteText"/>
      </w:pPr>
      <w:r>
        <w:rPr>
          <w:rStyle w:val="FootnoteReference"/>
        </w:rPr>
        <w:footnoteRef/>
      </w:r>
      <w:r>
        <w:t xml:space="preserve">
          <w:r>
            <w:t xml:space="preserve">
              <w:r>
                <w:t xml:space="preserve"> Roughly 7.5 pounds (3.4 kilograms)</w:t>
              </w:r>
            </w:t>
          </w:r>
        </w:t>
      </w:r>
    </w:p>
  </w:footnote>
  <w:footnote w:id="12532">
    <w:p>
      <w:pPr>
        <w:pStyle w:val="FootnoteText"/>
      </w:pPr>
      <w:r>
        <w:rPr>
          <w:rStyle w:val="FootnoteReference"/>
        </w:rPr>
        <w:footnoteRef/>
      </w:r>
      <w:r>
        <w:t xml:space="preserve">
          <w:r>
            <w:t xml:space="preserve">
              <w:r>
                <w:t xml:space="preserve"> Lit. “they,” but it refers to Judah</w:t>
              </w:r>
            </w:t>
          </w:r>
        </w:t>
      </w:r>
    </w:p>
  </w:footnote>
  <w:footnote w:id="22581">
    <w:p>
      <w:pPr>
        <w:pStyle w:val="FootnoteText"/>
      </w:pPr>
      <w:r>
        <w:rPr>
          <w:rStyle w:val="FootnoteReference"/>
        </w:rPr>
        <w:footnoteRef/>
      </w:r>
      <w:r>
        <w:t xml:space="preserve">
          <w:r>
            <w:t xml:space="preserve">
              <w:r>
                <w:t xml:space="preserve"> Or “but”</w:t>
              </w:r>
            </w:t>
          </w:r>
        </w:t>
      </w:r>
    </w:p>
  </w:footnote>
  <w:footnote w:id="25514">
    <w:p>
      <w:pPr>
        <w:pStyle w:val="FootnoteText"/>
      </w:pPr>
      <w:r>
        <w:rPr>
          <w:rStyle w:val="FootnoteReference"/>
        </w:rPr>
        <w:footnoteRef/>
      </w:r>
      <w:r>
        <w:t xml:space="preserve">
          <w:r>
            <w:t xml:space="preserve">
              <w:r>
                <w:t xml:space="preserve"> Lit. “the bread of oppression and the water of oppression”</w:t>
              </w:r>
            </w:t>
          </w:r>
        </w:t>
      </w:r>
    </w:p>
  </w:footnote>
  <w:footnote w:id="20199">
    <w:p>
      <w:pPr>
        <w:pStyle w:val="FootnoteText"/>
      </w:pPr>
      <w:r>
        <w:rPr>
          <w:rStyle w:val="FootnoteReference"/>
        </w:rPr>
        <w:footnoteRef/>
      </w:r>
      <w:r>
        <w:t xml:space="preserve">
          <w:r>
            <w:t xml:space="preserve">
              <w:r>
                <w:t xml:space="preserve"> The Masoretic Hebrew text says “dead bodies”</w:t>
              </w:r>
            </w:t>
          </w:r>
        </w:t>
      </w:r>
    </w:p>
  </w:footnote>
  <w:footnote w:id="11187">
    <w:p>
      <w:pPr>
        <w:pStyle w:val="FootnoteText"/>
      </w:pPr>
      <w:r>
        <w:rPr>
          <w:rStyle w:val="FootnoteReference"/>
        </w:rPr>
        <w:footnoteRef/>
      </w:r>
      <w:r>
        <w:t xml:space="preserve">
          <w:r>
            <w:t xml:space="preserve">
              <w:r>
                <w:t xml:space="preserve"> Lit. “blessing”</w:t>
              </w:r>
            </w:t>
          </w:r>
        </w:t>
      </w:r>
    </w:p>
  </w:footnote>
  <w:footnote w:id="16884">
    <w:p>
      <w:pPr>
        <w:pStyle w:val="FootnoteText"/>
      </w:pPr>
      <w:r>
        <w:rPr>
          <w:rStyle w:val="FootnoteReference"/>
        </w:rPr>
        <w:footnoteRef/>
      </w:r>
      <w:r>
        <w:t xml:space="preserve">
          <w:r>
            <w:t xml:space="preserve">
              <w:r>
                <w:t xml:space="preserve"> Lit. “strike with a great striking”</w:t>
              </w:r>
            </w:t>
          </w:r>
        </w:t>
      </w:r>
    </w:p>
  </w:footnote>
  <w:footnote w:id="17149">
    <w:p>
      <w:pPr>
        <w:pStyle w:val="FootnoteText"/>
      </w:pPr>
      <w:r>
        <w:rPr>
          <w:rStyle w:val="FootnoteReference"/>
        </w:rPr>
        <w:footnoteRef/>
      </w:r>
      <w:r>
        <w:t xml:space="preserve">
          <w:r>
            <w:t xml:space="preserve">
              <w:r>
                <w:t xml:space="preserve"> Or “he departed joyless”</w:t>
              </w:r>
            </w:t>
          </w:r>
        </w:t>
      </w:r>
    </w:p>
  </w:footnote>
  <w:footnote w:id="22630">
    <w:p>
      <w:pPr>
        <w:pStyle w:val="FootnoteText"/>
      </w:pPr>
      <w:r>
        <w:rPr>
          <w:rStyle w:val="FootnoteReference"/>
        </w:rPr>
        <w:footnoteRef/>
      </w:r>
      <w:r>
        <w:t xml:space="preserve">
          <w:r>
            <w:t xml:space="preserve">
              <w:r>
                <w:t xml:space="preserve"> The Hebrew text says 42, but see 2 Kings 8:26.</w:t>
              </w:r>
            </w:t>
          </w:r>
        </w:t>
      </w:r>
    </w:p>
  </w:footnote>
  <w:footnote w:id="28857">
    <w:p>
      <w:pPr>
        <w:pStyle w:val="FootnoteText"/>
      </w:pPr>
      <w:r>
        <w:rPr>
          <w:rStyle w:val="FootnoteReference"/>
        </w:rPr>
        <w:footnoteRef/>
      </w:r>
      <w:r>
        <w:t xml:space="preserve">
          <w:r>
            <w:t xml:space="preserve">
              <w:r>
                <w:t xml:space="preserve"> This second use is spelled “Joram” in the Hebrew text, a variant spelling of Jehoram.</w:t>
              </w:r>
            </w:t>
          </w:r>
        </w:t>
      </w:r>
    </w:p>
  </w:footnote>
  <w:footnote w:id="31002">
    <w:p>
      <w:pPr>
        <w:pStyle w:val="FootnoteText"/>
      </w:pPr>
      <w:r>
        <w:rPr>
          <w:rStyle w:val="FootnoteReference"/>
        </w:rPr>
        <w:footnoteRef/>
      </w:r>
      <w:r>
        <w:t xml:space="preserve">
          <w:r>
            <w:t xml:space="preserve">
              <w:r>
                <w:t xml:space="preserve"> Another spelling for Ramoth-gilead</w:t>
              </w:r>
            </w:t>
          </w:r>
        </w:t>
      </w:r>
    </w:p>
  </w:footnote>
  <w:footnote w:id="28901">
    <w:p>
      <w:pPr>
        <w:pStyle w:val="FootnoteText"/>
      </w:pPr>
      <w:r>
        <w:rPr>
          <w:rStyle w:val="FootnoteReference"/>
        </w:rPr>
        <w:footnoteRef/>
      </w:r>
      <w:r>
        <w:t xml:space="preserve">
          <w:r>
            <w:t xml:space="preserve">
              <w:r>
                <w:t xml:space="preserve"> Called “Ahaziah” in 2 Kings 8-9 (cf. 2 Kings 8:24-26).</w:t>
              </w:r>
            </w:t>
          </w:r>
        </w:t>
      </w:r>
    </w:p>
  </w:footnote>
  <w:footnote w:id="23322">
    <w:p>
      <w:pPr>
        <w:pStyle w:val="FootnoteText"/>
      </w:pPr>
      <w:r>
        <w:rPr>
          <w:rStyle w:val="FootnoteReference"/>
        </w:rPr>
        <w:footnoteRef/>
      </w:r>
      <w:r>
        <w:t xml:space="preserve">
          <w:r>
            <w:t xml:space="preserve">
              <w:r>
                <w:t xml:space="preserve"> Spelled “Joram” in the Hebrew text</w:t>
              </w:r>
            </w:t>
          </w:r>
        </w:t>
      </w:r>
    </w:p>
  </w:footnote>
  <w:footnote w:id="14179">
    <w:p>
      <w:pPr>
        <w:pStyle w:val="FootnoteText"/>
      </w:pPr>
      <w:r>
        <w:rPr>
          <w:rStyle w:val="FootnoteReference"/>
        </w:rPr>
        <w:footnoteRef/>
      </w:r>
      <w:r>
        <w:t xml:space="preserve">
          <w:r>
            <w:t xml:space="preserve">
              <w:r>
                <w:t xml:space="preserve"> Or “descendants”</w:t>
              </w:r>
            </w:t>
          </w:r>
        </w:t>
      </w:r>
    </w:p>
  </w:footnote>
  <w:footnote w:id="13979">
    <w:p>
      <w:pPr>
        <w:pStyle w:val="FootnoteText"/>
      </w:pPr>
      <w:r>
        <w:rPr>
          <w:rStyle w:val="FootnoteReference"/>
        </w:rPr>
        <w:footnoteRef/>
      </w:r>
      <w:r>
        <w:t xml:space="preserve">
          <w:r>
            <w:t xml:space="preserve">
              <w:r>
                <w:t xml:space="preserve"> He is called both Joash and Jehoash in 2 Kings.</w:t>
              </w:r>
            </w:t>
          </w:r>
        </w:t>
      </w:r>
    </w:p>
  </w:footnote>
  <w:footnote w:id="23836">
    <w:p>
      <w:pPr>
        <w:pStyle w:val="FootnoteText"/>
      </w:pPr>
      <w:r>
        <w:rPr>
          <w:rStyle w:val="FootnoteReference"/>
        </w:rPr>
        <w:footnoteRef/>
      </w:r>
      <w:r>
        <w:t xml:space="preserve">
          <w:r>
            <w:t xml:space="preserve">
              <w:r>
                <w:t xml:space="preserve"> That is, for Joash the king</w:t>
              </w:r>
            </w:t>
          </w:r>
        </w:t>
      </w:r>
    </w:p>
  </w:footnote>
  <w:footnote w:id="18038">
    <w:p>
      <w:pPr>
        <w:pStyle w:val="FootnoteText"/>
      </w:pPr>
      <w:r>
        <w:rPr>
          <w:rStyle w:val="FootnoteReference"/>
        </w:rPr>
        <w:footnoteRef/>
      </w:r>
      <w:r>
        <w:t xml:space="preserve">
          <w:r>
            <w:t xml:space="preserve">
              <w:r>
                <w:t xml:space="preserve"> Cf. Deut. 24:16</w:t>
              </w:r>
            </w:t>
          </w:r>
        </w:t>
      </w:r>
    </w:p>
  </w:footnote>
  <w:footnote w:id="17747">
    <w:p>
      <w:pPr>
        <w:pStyle w:val="FootnoteText"/>
      </w:pPr>
      <w:r>
        <w:rPr>
          <w:rStyle w:val="FootnoteReference"/>
        </w:rPr>
        <w:footnoteRef/>
      </w:r>
      <w:r>
        <w:t xml:space="preserve">
          <w:r>
            <w:t xml:space="preserve">
              <w:r>
                <w:t xml:space="preserve"> Roughly 7,500 pounds (3,400 kilograms)</w:t>
              </w:r>
            </w:t>
          </w:r>
        </w:t>
      </w:r>
    </w:p>
  </w:footnote>
  <w:footnote w:id="31361">
    <w:p>
      <w:pPr>
        <w:pStyle w:val="FootnoteText"/>
      </w:pPr>
      <w:r>
        <w:rPr>
          <w:rStyle w:val="FootnoteReference"/>
        </w:rPr>
        <w:footnoteRef/>
      </w:r>
      <w:r>
        <w:t xml:space="preserve">
          <w:r>
            <w:t xml:space="preserve">
              <w:r>
                <w:t xml:space="preserve"> Or “worshiped them”</w:t>
              </w:r>
            </w:t>
          </w:r>
        </w:t>
      </w:r>
    </w:p>
  </w:footnote>
  <w:footnote w:id="15958">
    <w:p>
      <w:pPr>
        <w:pStyle w:val="FootnoteText"/>
      </w:pPr>
      <w:r>
        <w:rPr>
          <w:rStyle w:val="FootnoteReference"/>
        </w:rPr>
        <w:footnoteRef/>
      </w:r>
      <w:r>
        <w:t xml:space="preserve">
          <w:r>
            <w:t xml:space="preserve">
              <w:r>
                <w:t xml:space="preserve"> Also known as Ahaziah (cf. 2 Kings 14:13)</w:t>
              </w:r>
            </w:t>
          </w:r>
        </w:t>
      </w:r>
    </w:p>
  </w:footnote>
  <w:footnote w:id="9999">
    <w:p>
      <w:pPr>
        <w:pStyle w:val="FootnoteText"/>
      </w:pPr>
      <w:r>
        <w:rPr>
          <w:rStyle w:val="FootnoteReference"/>
        </w:rPr>
        <w:footnoteRef/>
      </w:r>
      <w:r>
        <w:t xml:space="preserve">
          <w:r>
            <w:t xml:space="preserve">
              <w:r>
                <w:t xml:space="preserve"> Roughly 600 feet (183 meters)</w:t>
              </w:r>
            </w:t>
          </w:r>
        </w:t>
      </w:r>
    </w:p>
  </w:footnote>
  <w:footnote w:id="29677">
    <w:p>
      <w:pPr>
        <w:pStyle w:val="FootnoteText"/>
      </w:pPr>
      <w:r>
        <w:rPr>
          <w:rStyle w:val="FootnoteReference"/>
        </w:rPr>
        <w:footnoteRef/>
      </w:r>
      <w:r>
        <w:t xml:space="preserve">
          <w:r>
            <w:t xml:space="preserve">
              <w:r>
                <w:t xml:space="preserve"> The LXX and some Hebrew manuscripts read “David”</w:t>
              </w:r>
            </w:t>
          </w:r>
        </w:t>
      </w:r>
    </w:p>
  </w:footnote>
  <w:footnote w:id="20892">
    <w:p>
      <w:pPr>
        <w:pStyle w:val="FootnoteText"/>
      </w:pPr>
      <w:r>
        <w:rPr>
          <w:rStyle w:val="FootnoteReference"/>
        </w:rPr>
        <w:footnoteRef/>
      </w:r>
      <w:r>
        <w:t xml:space="preserve">
          <w:r>
            <w:t xml:space="preserve">
              <w:r>
                <w:t xml:space="preserve"> Lit. “name”</w:t>
              </w:r>
            </w:t>
          </w:r>
        </w:t>
      </w:r>
    </w:p>
  </w:footnote>
  <w:footnote w:id="17657">
    <w:p>
      <w:pPr>
        <w:pStyle w:val="FootnoteText"/>
      </w:pPr>
      <w:r>
        <w:rPr>
          <w:rStyle w:val="FootnoteReference"/>
        </w:rPr>
        <w:footnoteRef/>
      </w:r>
      <w:r>
        <w:t xml:space="preserve">
          <w:r>
            <w:t xml:space="preserve">
              <w:r>
                <w:t xml:space="preserve"> Roughly 7,500 pounds (3,402 kilograms)</w:t>
              </w:r>
            </w:t>
          </w:r>
        </w:t>
      </w:r>
    </w:p>
  </w:footnote>
  <w:footnote w:id="32127">
    <w:p>
      <w:pPr>
        <w:pStyle w:val="FootnoteText"/>
      </w:pPr>
      <w:r>
        <w:rPr>
          <w:rStyle w:val="FootnoteReference"/>
        </w:rPr>
        <w:footnoteRef/>
      </w:r>
      <w:r>
        <w:t xml:space="preserve">
          <w:r>
            <w:t xml:space="preserve">
              <w:r>
                <w:t xml:space="preserve"> A cor is roughly 6 bushels.</w:t>
              </w:r>
            </w:t>
          </w:r>
        </w:t>
      </w:r>
    </w:p>
  </w:footnote>
  <w:footnote w:id="15058">
    <w:p>
      <w:pPr>
        <w:pStyle w:val="FootnoteText"/>
      </w:pPr>
      <w:r>
        <w:rPr>
          <w:rStyle w:val="FootnoteReference"/>
        </w:rPr>
        <w:footnoteRef/>
      </w:r>
      <w:r>
        <w:t xml:space="preserve">
          <w:r>
            <w:t xml:space="preserve">
              <w:r>
                <w:t xml:space="preserve"> Or “as often”</w:t>
              </w:r>
            </w:t>
          </w:r>
        </w:t>
      </w:r>
    </w:p>
  </w:footnote>
  <w:footnote w:id="31805">
    <w:p>
      <w:pPr>
        <w:pStyle w:val="FootnoteText"/>
      </w:pPr>
      <w:r>
        <w:rPr>
          <w:rStyle w:val="FootnoteReference"/>
        </w:rPr>
        <w:footnoteRef/>
      </w:r>
      <w:r>
        <w:t xml:space="preserve">
          <w:r>
            <w:t xml:space="preserve">
              <w:r>
                <w:t xml:space="preserve"> Meaning “Yahweh’s”</w:t>
              </w:r>
            </w:t>
          </w:r>
        </w:t>
      </w:r>
    </w:p>
  </w:footnote>
  <w:footnote w:id="30680">
    <w:p>
      <w:pPr>
        <w:pStyle w:val="FootnoteText"/>
      </w:pPr>
      <w:r>
        <w:rPr>
          <w:rStyle w:val="FootnoteReference"/>
        </w:rPr>
        <w:footnoteRef/>
      </w:r>
      <w:r>
        <w:t xml:space="preserve">
          <w:r>
            <w:t xml:space="preserve">
              <w:r>
                <w:t xml:space="preserve"> Heb. “guided them on every side”</w:t>
              </w:r>
            </w:t>
          </w:r>
        </w:t>
      </w:r>
    </w:p>
  </w:footnote>
  <w:footnote w:id="20734">
    <w:p>
      <w:pPr>
        <w:pStyle w:val="FootnoteText"/>
      </w:pPr>
      <w:r>
        <w:rPr>
          <w:rStyle w:val="FootnoteReference"/>
        </w:rPr>
        <w:footnoteRef/>
      </w:r>
      <w:r>
        <w:t xml:space="preserve">
          <w:r>
            <w:t xml:space="preserve">
              <w:r>
                <w:t xml:space="preserve"> Lit. “he” referring to Yahweh</w:t>
              </w:r>
            </w:t>
          </w:r>
        </w:t>
      </w:r>
    </w:p>
  </w:footnote>
  <w:footnote w:id="31840">
    <w:p>
      <w:pPr>
        <w:pStyle w:val="FootnoteText"/>
      </w:pPr>
      <w:r>
        <w:rPr>
          <w:rStyle w:val="FootnoteReference"/>
        </w:rPr>
        <w:footnoteRef/>
      </w:r>
      <w:r>
        <w:t xml:space="preserve">
          <w:r>
            <w:t xml:space="preserve">
              <w:r>
                <w:t xml:space="preserve"> Lit. “upon him”</w:t>
              </w:r>
            </w:t>
          </w:r>
        </w:t>
      </w:r>
    </w:p>
  </w:footnote>
  <w:footnote w:id="13342">
    <w:p>
      <w:pPr>
        <w:pStyle w:val="FootnoteText"/>
      </w:pPr>
      <w:r>
        <w:rPr>
          <w:rStyle w:val="FootnoteReference"/>
        </w:rPr>
        <w:footnoteRef/>
      </w:r>
      <w:r>
        <w:t xml:space="preserve">
          <w:r>
            <w:t xml:space="preserve">
              <w:r>
                <w:t xml:space="preserve"> Lit. “he” but it refers to Yahweh</w:t>
              </w:r>
            </w:t>
          </w:r>
        </w:t>
      </w:r>
    </w:p>
  </w:footnote>
  <w:footnote w:id="18219">
    <w:p>
      <w:pPr>
        <w:pStyle w:val="FootnoteText"/>
      </w:pPr>
      <w:r>
        <w:rPr>
          <w:rStyle w:val="FootnoteReference"/>
        </w:rPr>
        <w:footnoteRef/>
      </w:r>
      <w:r>
        <w:t xml:space="preserve">
          <w:r>
            <w:t xml:space="preserve">
              <w:r>
                <w:t xml:space="preserve"> The Masoretic text can read a personal name, Hozai.</w:t>
              </w:r>
            </w:t>
          </w:r>
        </w:t>
      </w:r>
    </w:p>
  </w:footnote>
  <w:footnote w:id="11951">
    <w:p>
      <w:pPr>
        <w:pStyle w:val="FootnoteText"/>
      </w:pPr>
      <w:r>
        <w:rPr>
          <w:rStyle w:val="FootnoteReference"/>
        </w:rPr>
        <w:footnoteRef/>
      </w:r>
      <w:r>
        <w:t xml:space="preserve">
          <w:r>
            <w:t xml:space="preserve">
              <w:r>
                <w:t xml:space="preserve"> Lit. “silver”</w:t>
              </w:r>
            </w:t>
          </w:r>
        </w:t>
      </w:r>
    </w:p>
  </w:footnote>
  <w:footnote w:id="30793">
    <w:p>
      <w:pPr>
        <w:pStyle w:val="FootnoteText"/>
      </w:pPr>
      <w:r>
        <w:rPr>
          <w:rStyle w:val="FootnoteReference"/>
        </w:rPr>
        <w:footnoteRef/>
      </w:r>
      <w:r>
        <w:t xml:space="preserve">
          <w:r>
            <w:t xml:space="preserve">
              <w:r>
                <w:t xml:space="preserve"> Lit. “the sons of the people”</w:t>
              </w:r>
            </w:t>
          </w:r>
        </w:t>
      </w:r>
    </w:p>
  </w:footnote>
  <w:footnote w:id="30437">
    <w:p>
      <w:pPr>
        <w:pStyle w:val="FootnoteText"/>
      </w:pPr>
      <w:r>
        <w:rPr>
          <w:rStyle w:val="FootnoteReference"/>
        </w:rPr>
        <w:footnoteRef/>
      </w:r>
      <w:r>
        <w:t xml:space="preserve">
          <w:r>
            <w:t xml:space="preserve">
              <w:r>
                <w:t xml:space="preserve"> Lit. “from their hand”</w:t>
              </w:r>
            </w:t>
          </w:r>
        </w:t>
      </w:r>
    </w:p>
  </w:footnote>
  <w:footnote w:id="21440">
    <w:p>
      <w:pPr>
        <w:pStyle w:val="FootnoteText"/>
      </w:pPr>
      <w:r>
        <w:rPr>
          <w:rStyle w:val="FootnoteReference"/>
        </w:rPr>
        <w:footnoteRef/>
      </w:r>
      <w:r>
        <w:t xml:space="preserve">
          <w:r>
            <w:t xml:space="preserve">
              <w:r>
                <w:t xml:space="preserve"> Lit. “he,” referring to Pharaoh Neco</w:t>
              </w:r>
            </w:t>
          </w:r>
        </w:t>
      </w:r>
    </w:p>
  </w:footnote>
  <w:footnote w:id="21516">
    <w:p>
      <w:pPr>
        <w:pStyle w:val="FootnoteText"/>
      </w:pPr>
      <w:r>
        <w:rPr>
          <w:rStyle w:val="FootnoteReference"/>
        </w:rPr>
        <w:footnoteRef/>
      </w:r>
      <w:r>
        <w:t xml:space="preserve">
          <w:r>
            <w:t xml:space="preserve">
              <w:r>
                <w:t xml:space="preserve"> Different spelling of Jehoahaz</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014204">
    <w:multiLevelType w:val="hybridMultilevel"/>
    <w:lvl w:ilvl="0" w:tplc="89295652">
      <w:start w:val="1"/>
      <w:numFmt w:val="decimal"/>
      <w:lvlText w:val="%1."/>
      <w:lvlJc w:val="left"/>
      <w:pPr>
        <w:ind w:left="720" w:hanging="360"/>
      </w:pPr>
    </w:lvl>
    <w:lvl w:ilvl="1" w:tplc="89295652" w:tentative="1">
      <w:start w:val="1"/>
      <w:numFmt w:val="lowerLetter"/>
      <w:lvlText w:val="%2."/>
      <w:lvlJc w:val="left"/>
      <w:pPr>
        <w:ind w:left="1440" w:hanging="360"/>
      </w:pPr>
    </w:lvl>
    <w:lvl w:ilvl="2" w:tplc="89295652" w:tentative="1">
      <w:start w:val="1"/>
      <w:numFmt w:val="lowerRoman"/>
      <w:lvlText w:val="%3."/>
      <w:lvlJc w:val="right"/>
      <w:pPr>
        <w:ind w:left="2160" w:hanging="180"/>
      </w:pPr>
    </w:lvl>
    <w:lvl w:ilvl="3" w:tplc="89295652" w:tentative="1">
      <w:start w:val="1"/>
      <w:numFmt w:val="decimal"/>
      <w:lvlText w:val="%4."/>
      <w:lvlJc w:val="left"/>
      <w:pPr>
        <w:ind w:left="2880" w:hanging="360"/>
      </w:pPr>
    </w:lvl>
    <w:lvl w:ilvl="4" w:tplc="89295652" w:tentative="1">
      <w:start w:val="1"/>
      <w:numFmt w:val="lowerLetter"/>
      <w:lvlText w:val="%5."/>
      <w:lvlJc w:val="left"/>
      <w:pPr>
        <w:ind w:left="3600" w:hanging="360"/>
      </w:pPr>
    </w:lvl>
    <w:lvl w:ilvl="5" w:tplc="89295652" w:tentative="1">
      <w:start w:val="1"/>
      <w:numFmt w:val="lowerRoman"/>
      <w:lvlText w:val="%6."/>
      <w:lvlJc w:val="right"/>
      <w:pPr>
        <w:ind w:left="4320" w:hanging="180"/>
      </w:pPr>
    </w:lvl>
    <w:lvl w:ilvl="6" w:tplc="89295652" w:tentative="1">
      <w:start w:val="1"/>
      <w:numFmt w:val="decimal"/>
      <w:lvlText w:val="%7."/>
      <w:lvlJc w:val="left"/>
      <w:pPr>
        <w:ind w:left="5040" w:hanging="360"/>
      </w:pPr>
    </w:lvl>
    <w:lvl w:ilvl="7" w:tplc="89295652" w:tentative="1">
      <w:start w:val="1"/>
      <w:numFmt w:val="lowerLetter"/>
      <w:lvlText w:val="%8."/>
      <w:lvlJc w:val="left"/>
      <w:pPr>
        <w:ind w:left="5760" w:hanging="360"/>
      </w:pPr>
    </w:lvl>
    <w:lvl w:ilvl="8" w:tplc="89295652" w:tentative="1">
      <w:start w:val="1"/>
      <w:numFmt w:val="lowerRoman"/>
      <w:lvlText w:val="%9."/>
      <w:lvlJc w:val="right"/>
      <w:pPr>
        <w:ind w:left="6480" w:hanging="180"/>
      </w:pPr>
    </w:lvl>
  </w:abstractNum>
  <w:abstractNum w:abstractNumId="30326">
    <w:multiLevelType w:val="hybridMultilevel"/>
    <w:lvl w:ilvl="0" w:tplc="640498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326">
    <w:abstractNumId w:val="30326"/>
  </w:num>
  <w:num w:numId="34014204">
    <w:abstractNumId w:val="340142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4572534" Type="http://schemas.openxmlformats.org/officeDocument/2006/relationships/numbering" Target="numbering.xml"/><Relationship Id="rId492012011" Type="http://schemas.openxmlformats.org/officeDocument/2006/relationships/comments" Target="comments.xml"/><Relationship Id="rId18656862ad36c5b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