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9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FootnoteReference"/>
        </w:rPr>
        <w:footnoteReference w:id="17034"/>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FootnoteReference"/>
        </w:rPr>
        <w:footnoteReference w:id="25906"/>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cf. Num. 7:89).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FootnoteReference"/>
        </w:rPr>
        <w:footnoteReference w:id="32325"/>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or “expanse,” there are good lexical and contextual reasons to translate it as “platform” here; a platform with Yahweh’s throne set on it.</w:t>
      </w:r>
      <w:r>
        <w:rPr>
          <w:rStyle w:val="FootnoteReference"/>
        </w:rPr>
        <w:footnoteReference w:id="15562"/>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FootnoteReference"/>
        </w:rPr>
        <w:footnoteReference w:id="19784"/>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FootnoteReference"/>
        </w:rPr>
        <w:footnoteReference w:id="19162"/>
      </w:r>
      <w:r>
        <w:rPr/>
        <w:t xml:space="preserve"> Holladay says that </w:t>
      </w:r>
      <w:r>
        <w:rPr>
          <w:i/>
          <w:iCs/>
        </w:rPr>
        <w:t xml:space="preserve">raqiva</w:t>
      </w:r>
      <w:r>
        <w:rPr/>
        <w:t xml:space="preserve"> refers to a beaten metal “plate, firmament (i.e., vault of heaven, understood as a solid dome).”</w:t>
      </w:r>
      <w:r>
        <w:rPr>
          <w:rStyle w:val="FootnoteReference"/>
        </w:rPr>
        <w:footnoteReference w:id="16490"/>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and was thought 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(and with good reason) that above the cherubim was an “expanse” like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are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FootnoteReference"/>
        </w:rPr>
        <w:footnoteReference w:id="27788"/>
      </w:r>
      <w:r>
        <w:rPr/>
        <w:t xml:space="preserve"> Sapphires are found in the Roman Empire, presumably due to Roman trade with Central Asia.</w:t>
      </w:r>
      <w:r>
        <w:rPr>
          <w:rStyle w:val="FootnoteReference"/>
        </w:rPr>
        <w:footnoteReference w:id="17795"/>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to the ancients.”</w:t>
      </w:r>
      <w:r>
        <w:rPr>
          <w:rStyle w:val="FootnoteReference"/>
        </w:rPr>
        <w:footnoteReference w:id="24760"/>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FootnoteReference"/>
        </w:rPr>
        <w:footnoteReference w:id="10101"/>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FootnoteReference"/>
        </w:rPr>
        <w:footnoteReference w:id="26518"/>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FootnoteReference"/>
        </w:rPr>
        <w:footnoteReference w:id="15299"/>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FootnoteReference"/>
        </w:rPr>
        <w:footnoteReference w:id="11205"/>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 God said “I will appear in the cloud over the atonement cover,” so again we see God appearing in a cloud of bright light (Lev. 16:2).</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a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FootnoteReference"/>
        </w:rPr>
        <w:footnoteReference w:id="16013"/>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FootnoteReference"/>
        </w:rPr>
        <w:footnoteReference w:id="23129"/>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FootnoteReference"/>
        </w:rPr>
        <w:footnoteReference w:id="28185"/>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FootnoteReference"/>
        </w:rPr>
        <w:footnoteReference w:id="31803"/>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3:17</w:t>
      </w:r>
    </w:p>
    <w:p>
      <w:pPr>
        <w:pStyle w:val="rNormal"/>
        <w:widowControl w:val="on"/>
        <w:spacing w:before="240" w:after="240" w:line="240" w:lineRule="auto"/>
        <w:ind w:left="0" w:right="0" w:firstLine="1"/>
        <w:jc w:val="left"/>
      </w:pPr>
      <w:r>
        <w:rPr>
          <w:b/>
          <w:bCs/>
        </w:rPr>
        <w:t xml:space="preserve">“Son of man, I have made you a watchman to the house of Israel.”</w:t>
      </w:r>
      <w:r>
        <w:rPr/>
        <w:t xml:space="preserve"> The message that God gave Ezekiel here in Ezekiel 3:17-21 is the same basic message that God gave in Ezekiel 18:21-24 and Ezekiel 33:7-16. Ezekiel 3:17-21 includes the responsibility of the person called to be a watchman to tell others about the disaster that will come upon those who disobey God,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FootnoteReference"/>
        </w:rPr>
        <w:footnoteReference w:id="32579"/>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6:7</w:t>
      </w:r>
    </w:p>
    <w:p>
      <w:pPr>
        <w:pStyle w:val="rNormal"/>
        <w:widowControl w:val="on"/>
        <w:spacing w:before="240" w:after="240" w:line="240" w:lineRule="auto"/>
        <w:ind w:left="0" w:right="0" w:firstLine="1"/>
        <w:jc w:val="left"/>
      </w:pPr>
      <w:r>
        <w:rPr>
          <w:b/>
          <w:bCs/>
        </w:rPr>
        <w:t xml:space="preserve">“and you will know that I am Yahweh.”</w:t>
      </w:r>
      <w:r>
        <w:rPr/>
        <w:t xml:space="preserve"> That is, you will experience that I am Yahweh (see commentary on Exod. 6:7).</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FootnoteReference"/>
        </w:rPr>
        <w:footnoteReference w:id="30229"/>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Word Study: “Psuchē.”]</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FootnoteReference"/>
        </w:rPr>
        <w:footnoteReference w:id="28103"/>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FootnoteReference"/>
        </w:rPr>
        <w:footnoteReference w:id="25991"/>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which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FootnoteReference"/>
        </w:rPr>
        <w:footnoteReference w:id="16612"/>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FootnoteReference"/>
        </w:rPr>
        <w:footnoteReference w:id="13500"/>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FootnoteReference"/>
        </w:rPr>
        <w:footnoteReference w:id="14014"/>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FootnoteReference"/>
        </w:rPr>
        <w:footnoteReference w:id="16747"/>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The Old Testament prophets had foretold that a new spirit was coming in the future, one that was different from the spirit God gave in Old Testament times. It was foretold to come as part of the Messianic Kingdom and the New Covenant that God would make with Israel (Isa. 32:15-18; 44:3-5; Ezek. 11:17-21; 36:26-27; Joel 2:28-29).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FootnoteReference"/>
        </w:rPr>
        <w:footnoteReference w:id="13644"/>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FootnoteReference"/>
        </w:rPr>
        <w:footnoteReference w:id="10401"/>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pleasing aroma.”</w:t>
      </w:r>
      <w:r>
        <w:rPr/>
        <w:t xml:space="preserve"> This phrase with “pleasing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the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Word Study: “Psuchē.”]</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“if the wicked person turns from all his sins that he has committed...he will live.”</w:t>
      </w:r>
      <w:r>
        <w:rPr/>
        <w:t xml:space="preserve"> The message that God gave Ezekiel here in Ezekiel 18:21-24 is also given in Ezekiel 3:17-21 and Ezekiel 33:7-16. However, Ezekiel 3:17-21 and Ezekiel 33:7-16 include the responsibility of the person called to be a watchman to tell others about the disaster that will come upon those who disobey God. There is a warning and a message of hope in these passages. The warning, and the message of hope is that if a person has committed sins in the past, these do not keep him from being righteous before God if he changes and does what is right, and it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FootnoteReference"/>
        </w:rPr>
        <w:footnoteReference w:id="19567"/>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FootnoteReference"/>
        </w:rPr>
        <w:footnoteReference w:id="29277"/>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FootnoteReference"/>
        </w:rPr>
        <w:footnoteReference w:id="13924"/>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FootnoteReference"/>
        </w:rPr>
        <w:footnoteReference w:id="22599"/>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FootnoteReference"/>
        </w:rPr>
        <w:footnoteReference w:id="12736"/>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FootnoteReference"/>
        </w:rPr>
        <w:footnoteReference w:id="26308"/>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FootnoteReference"/>
        </w:rPr>
        <w:footnoteReference w:id="14433"/>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FootnoteReference"/>
        </w:rPr>
        <w:footnoteReference w:id="17227"/>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FootnoteReference"/>
        </w:rPr>
        <w:footnoteReference w:id="26493"/>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FootnoteReference"/>
        </w:rPr>
        <w:footnoteReference w:id="21801"/>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FootnoteReference"/>
        </w:rPr>
        <w:footnoteReference w:id="17087"/>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FootnoteReference"/>
        </w:rPr>
        <w:footnoteReference w:id="25223"/>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FootnoteReference"/>
        </w:rPr>
        <w:footnoteReference w:id="24927"/>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FootnoteReference"/>
        </w:rPr>
        <w:footnoteReference w:id="15162"/>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FootnoteReference"/>
        </w:rPr>
        <w:footnoteReference w:id="12068"/>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FootnoteReference"/>
        </w:rPr>
        <w:footnoteReference w:id="30128"/>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FootnoteReference"/>
        </w:rPr>
        <w:footnoteReference w:id="2869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FootnoteReference"/>
        </w:rPr>
        <w:footnoteReference w:id="13402"/>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FootnoteReference"/>
        </w:rPr>
        <w:footnoteReference w:id="22743"/>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FootnoteReference"/>
        </w:rPr>
        <w:footnoteReference w:id="20819"/>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FootnoteReference"/>
        </w:rPr>
        <w:footnoteReference w:id="11910"/>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FootnoteReference"/>
        </w:rPr>
        <w:footnoteReference w:id="16358"/>
      </w:r>
      <w:r>
        <w:rPr/>
        <w:t xml:space="preserve"> “pleasure.”</w:t>
      </w:r>
      <w:r>
        <w:rPr>
          <w:rStyle w:val="FootnoteReference"/>
        </w:rPr>
        <w:footnoteReference w:id="16578"/>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FootnoteReference"/>
        </w:rPr>
        <w:footnoteReference w:id="18473"/>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FootnoteReference"/>
        </w:rPr>
        <w:footnoteReference w:id="19504"/>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FootnoteReference"/>
        </w:rPr>
        <w:footnoteReference w:id="28834"/>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FootnoteReference"/>
        </w:rPr>
        <w:footnoteReference w:id="13910"/>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Word Study: “Hades”).</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FootnoteReference"/>
        </w:rPr>
        <w:footnoteReference w:id="24346"/>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33:7</w:t>
      </w:r>
    </w:p>
    <w:p>
      <w:pPr>
        <w:pStyle w:val="rNormal"/>
        <w:widowControl w:val="on"/>
        <w:spacing w:before="240" w:after="240" w:line="240" w:lineRule="auto"/>
        <w:ind w:left="0" w:right="0" w:firstLine="1"/>
        <w:jc w:val="left"/>
      </w:pPr>
      <w:r>
        <w:rPr>
          <w:b/>
          <w:bCs/>
        </w:rPr>
        <w:t xml:space="preserve">“I have made you a watchman to the house of Israel.”</w:t>
      </w:r>
      <w:r>
        <w:rPr/>
        <w:t xml:space="preserve"> The message that God gave Ezekiel here in Ezekiel 33:7-16 is the same basic message that God gave in Ezekiel 3:17-21 and Ezekiel 18:21-24. Ezekiel 33:7-16 includes the responsibility of the person called to be a watchman to tell others about the disaster that will come upon those who disobey God. It also includes a warning to people not to believe that past righteousness will cover for current sin, and the encouragement that sin in one’s past will not keep a person from being considered righteous in God’s sight if they repent of their sin and live righteously.</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36:25</w:t>
      </w:r>
    </w:p>
    <w:p>
      <w:pPr>
        <w:pStyle w:val="rNormal"/>
        <w:widowControl w:val="on"/>
        <w:spacing w:before="240" w:after="240" w:line="240" w:lineRule="auto"/>
        <w:ind w:left="0" w:right="0" w:firstLine="1"/>
        <w:jc w:val="left"/>
      </w:pPr>
      <w:r>
        <w:rPr>
          <w:b/>
          <w:bCs/>
        </w:rPr>
        <w:t xml:space="preserve">“sprinkle.”</w:t>
      </w:r>
      <w:r>
        <w:rPr/>
        <w:t xml:space="preserve"> The Hebrew word is normally translated as “throw,” but here “sprinkle” fits better.</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FootnoteReference"/>
        </w:rPr>
        <w:footnoteReference w:id="29696"/>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FootnoteReference"/>
        </w:rPr>
        <w:footnoteReference w:id="13521"/>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whom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FootnoteReference"/>
        </w:rPr>
        <w:footnoteReference w:id="18104"/>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FootnoteReference"/>
        </w:rPr>
        <w:footnoteReference w:id="23769"/>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FootnoteReference"/>
        </w:rPr>
        <w:footnoteReference w:id="28376"/>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guilt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FootnoteReference"/>
        </w:rPr>
        <w:footnoteReference w:id="13581"/>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FootnoteReference"/>
        </w:rPr>
        <w:footnoteReference w:id="25301"/>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guilt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FootnoteReference"/>
        </w:rPr>
        <w:footnoteReference w:id="30207"/>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FootnoteReference"/>
        </w:rPr>
        <w:footnoteReference w:id="13960"/>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44:19</w:t>
      </w:r>
    </w:p>
    <w:p>
      <w:pPr>
        <w:pStyle w:val="rNormal"/>
        <w:widowControl w:val="on"/>
        <w:spacing w:before="240" w:after="240" w:line="240" w:lineRule="auto"/>
        <w:ind w:left="0" w:right="0" w:firstLine="1"/>
        <w:jc w:val="left"/>
      </w:pPr>
      <w:r>
        <w:rPr>
          <w:b/>
          <w:bCs/>
        </w:rPr>
        <w:t xml:space="preserve">“go out into the outer court, into the outer court to the people.”</w:t>
      </w:r>
      <w:r>
        <w:rPr/>
        <w:t xml:space="preserve"> To understand Ezekiel 44:19 and 46:20, we need to notice that the setting is Ezekiel’s Temple. That is a vital point to understand because the Temple described in Ezekiel is very different from the Tabernacle of Moses, but designed more like Solomon’s Temple. The Tabernacle of Moses only had one large courtyard, and that courtyard had the altar of sacrifice and the great basin for washing. The people would enter that courtyard with their sacrifices. In contrast, Solomon’s Temple had a wall that divided the courtyard into an “inner court” and “outer court” (1 Kings 6:36; 2 Chron. 4:9). Only the priests and Levites could go into the inner courtyard. The way things were done in Ezekiel’s Temple was more complicated than in the Tabernacle. Here in Ezekiel’s Temple, the priests minister in the inner court in their special garments, but when they go out into the outer court, they have to take off their special clothing and put on different clothing. There was a similar event associated with the Tabernacle. On the Day of Atonement, when the High Priest went into the Holy of Holies, he was to put on special clothing, but then take them off when he came out of the Holy of Holies (Lev. 16:23).</w:t>
      </w:r>
    </w:p>
    <w:p>
      <w:pPr>
        <w:pStyle w:val="rNormal"/>
        <w:widowControl w:val="on"/>
        <w:spacing w:before="240" w:after="240" w:line="240" w:lineRule="auto"/>
        <w:ind w:left="0" w:right="0"/>
        <w:jc w:val="left"/>
      </w:pPr>
      <w:r>
        <w:rPr/>
        <w:t xml:space="preserve">Once we understand the layout of Ezekiel’s Temple, we can see what is going on. In the inner courtyard is the laver for washing and the altar of sacrifice. That is where the priests kill the sacrifices and burn them. In the outer court were the people, and many of them needed cleansing and help from the priests. For example, a person might have had a skin disease and needed to be examined and cleansed. The unclean person could not go into the inner court, but the priest would come out and inspect the person to see if he or she was clean. When the priest would leave the inner court and go into the outer court to the people to do that kind of priestly work, he was not to wear the special clothes that he ministered in when he was in the inner court, but was to have other clothes to wear in the outer court.</w:t>
      </w:r>
    </w:p>
    <w:p>
      <w:pPr>
        <w:pStyle w:val="rNormal"/>
        <w:widowControl w:val="on"/>
        <w:spacing w:before="240" w:after="240" w:line="240" w:lineRule="auto"/>
        <w:ind w:left="0" w:right="0"/>
        <w:jc w:val="left"/>
      </w:pPr>
      <w:r>
        <w:rPr/>
        <w:t xml:space="preserve">Unfortunately, most English translations of the Bible translate the Hebrew as the CSB does, that the priests change their clothes “so that they do not transmit holiness to the people through their clothes.” There is good evidence that translating the verse that way misses the point. When something “clean” is touched by something that is “unclean,” the clean thing becomes unclean, the unclean thing does not become clean. Holiness is not transmitted by touch, but uncleanness is. This is clear from a large number of verses (see commentary on Lev. 6:18; and see the good example in Hag. 2:12-13). The Targum of Onqelos gets the idea of the Hebrew text, and says that the priests put on different clothes “so that they do not mix with the people [while] in their [special] garments.”</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guilt offering and the sin offering.”</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“in order that they do not bring them into the outer court and sanctify the people.”</w:t>
      </w:r>
      <w:r>
        <w:rPr/>
        <w:t xml:space="preserve"> It is not like the sin and grain offering would sanctify the people. The priests would go into the outer court of Ezekiel’s Temple to sanctify the people as a matter of their responsibilities, but the sin offering and the grain offering were not to be eaten by the people like the peace offering was, so the priests were not to take the sin and grain offering out into the outer court with them when they went out to sanctify the people.</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descendant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FootnoteReference"/>
        </w:rPr>
        <w:footnoteReference w:id="21026"/>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4797684eb8332381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863210"/>
      <w:docPartObj>
        <w:docPartGallery w:val="Page Numbers (Bottom of Page)"/>
        <w:docPartUnique/>
      </w:docPartObj>
    </w:sdtPr>
    <w:sdtContent>
      <w:sdt>
        <w:sdtPr>
          <w:id w:val="42932907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034">
    <w:p>
      <w:pPr>
        <w:pStyle w:val="FootnoteText"/>
      </w:pPr>
      <w:r>
        <w:rPr>
          <w:rStyle w:val="FootnoteReference"/>
        </w:rPr>
        <w:footnoteRef/>
      </w:r>
      <w:r>
        <w:t xml:space="preserve">
          <w:r>
            <w:t xml:space="preserve">
              <w:r>
                <w:t xml:space="preserve"> Edwin Thiele​​​​​​​, </w:t>
              </w:r>
              <w:r>
                <w:rPr>
                  <w:i/>
                </w:rPr>
                <w:t xml:space="preserve">The Mysterious Numbers of the Hebrew Kings</w:t>
              </w:r>
              <w:r>
                <w:t xml:space="preserve">, 73.</w:t>
              </w:r>
            </w:t>
          </w:r>
        </w:t>
      </w:r>
    </w:p>
  </w:footnote>
  <w:footnote w:id="25906">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84.</w:t>
              </w:r>
            </w:t>
          </w:r>
        </w:t>
      </w:r>
    </w:p>
  </w:footnote>
  <w:footnote w:id="32325">
    <w:p>
      <w:pPr>
        <w:pStyle w:val="FootnoteText"/>
      </w:pPr>
      <w:r>
        <w:rPr>
          <w:rStyle w:val="FootnoteReference"/>
        </w:rPr>
        <w:footnoteRef/>
      </w:r>
      <w:r>
        <w:t xml:space="preserve">
          <w:r>
            <w:t xml:space="preserve">
              <w:r>
                <w:t xml:space="preserve"> Horatio B. Hackett, Dr. William Smith’s Dictionary of the Bible, 1:420.</w:t>
              </w:r>
            </w:t>
          </w:r>
        </w:t>
      </w:r>
    </w:p>
  </w:footnote>
  <w:footnote w:id="15562">
    <w:p>
      <w:pPr>
        <w:pStyle w:val="FootnoteText"/>
      </w:pPr>
      <w:r>
        <w:rPr>
          <w:rStyle w:val="FootnoteReference"/>
        </w:rPr>
        <w:footnoteRef/>
      </w:r>
      <w:r>
        <w:t xml:space="preserve">
          <w:r>
            <w:t xml:space="preserve">
              <w:r>
                <w:t xml:space="preserve"> Cf. NET, WBC, NICOT, Hermeneia, The Anchor Bible: </w:t>
              </w:r>
              <w:r>
                <w:rPr>
                  <w:i/>
                </w:rPr>
                <w:t xml:space="preserve">Ezekiel</w:t>
              </w:r>
              <w:r>
                <w:t xml:space="preserve">, Tyndale Old Testament Commentaries: </w:t>
              </w:r>
              <w:r>
                <w:rPr>
                  <w:i/>
                </w:rPr>
                <w:t xml:space="preserve">Ezekiel</w:t>
              </w:r>
              <w:r>
                <w:t xml:space="preserve">, NJB, NRSV, and NLT.</w:t>
              </w:r>
            </w:t>
          </w:r>
        </w:t>
      </w:r>
    </w:p>
  </w:footnote>
  <w:footnote w:id="19784">
    <w:p>
      <w:pPr>
        <w:pStyle w:val="FootnoteText"/>
      </w:pPr>
      <w:r>
        <w:rPr>
          <w:rStyle w:val="FootnoteReference"/>
        </w:rPr>
        <w:footnoteRef/>
      </w:r>
      <w:r>
        <w:t xml:space="preserve">
          <w:r>
            <w:t xml:space="preserve">
              <w:r>
                <w:t xml:space="preserve"> Harris, </w:t>
              </w:r>
              <w:r>
                <w:rPr>
                  <w:i/>
                </w:rPr>
                <w:t xml:space="preserve">Theological Wordbook of the Old Testament</w:t>
              </w:r>
              <w:r>
                <w:t xml:space="preserve">, 861.</w:t>
              </w:r>
            </w:t>
          </w:r>
        </w:t>
      </w:r>
    </w:p>
  </w:footnote>
  <w:footnote w:id="1916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6490">
    <w:p>
      <w:pPr>
        <w:pStyle w:val="FootnoteText"/>
      </w:pPr>
      <w:r>
        <w:rPr>
          <w:rStyle w:val="FootnoteReference"/>
        </w:rPr>
        <w:footnoteRef/>
      </w:r>
      <w:r>
        <w:t xml:space="preserve">
          <w:r>
            <w:t xml:space="preserve">
              <w:r>
                <w:t xml:space="preserve"> Holladay, </w:t>
              </w:r>
              <w:r>
                <w:rPr>
                  <w:i/>
                </w:rPr>
                <w:t xml:space="preserve">Hebrew and Aramaic Lexicon</w:t>
              </w:r>
              <w:r>
                <w:t xml:space="preserve">.</w:t>
              </w:r>
            </w:t>
          </w:r>
        </w:t>
      </w:r>
    </w:p>
  </w:footnote>
  <w:footnote w:id="27788">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102n89.</w:t>
              </w:r>
            </w:t>
          </w:r>
        </w:t>
      </w:r>
    </w:p>
  </w:footnote>
  <w:footnote w:id="17795">
    <w:p>
      <w:pPr>
        <w:pStyle w:val="FootnoteText"/>
      </w:pPr>
      <w:r>
        <w:rPr>
          <w:rStyle w:val="FootnoteReference"/>
        </w:rPr>
        <w:footnoteRef/>
      </w:r>
      <w:r>
        <w:t xml:space="preserve">
          <w:r>
            <w:t xml:space="preserve">
              <w:r>
                <w:t xml:space="preserve"> Katherine Sakenfeld, ed., </w:t>
              </w:r>
              <w:r>
                <w:rPr>
                  <w:i/>
                </w:rPr>
                <w:t xml:space="preserve">The New Interpreter’s Dictionary of the Bible</w:t>
              </w:r>
              <w:r>
                <w:t xml:space="preserve">, 5:107.</w:t>
              </w:r>
            </w:t>
          </w:r>
        </w:t>
      </w:r>
    </w:p>
  </w:footnote>
  <w:footnote w:id="24760">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t>
          </w:r>
        </w:t>
      </w:r>
    </w:p>
  </w:footnote>
  <w:footnote w:id="10101">
    <w:p>
      <w:pPr>
        <w:pStyle w:val="FootnoteText"/>
      </w:pPr>
      <w:r>
        <w:rPr>
          <w:rStyle w:val="FootnoteReference"/>
        </w:rPr>
        <w:footnoteRef/>
      </w:r>
      <w:r>
        <w:t xml:space="preserve">
          <w:r>
            <w:t xml:space="preserve">
              <w:r>
                <w:t xml:space="preserve"> Ruth Wright and Robert Chadbourne, </w:t>
              </w:r>
              <w:r>
                <w:rPr>
                  <w:i/>
                </w:rPr>
                <w:t xml:space="preserve">Gems and Minerals of the Bible</w:t>
              </w:r>
              <w:r>
                <w:t xml:space="preserve">, 81.</w:t>
              </w:r>
            </w:t>
          </w:r>
        </w:t>
      </w:r>
    </w:p>
  </w:footnote>
  <w:footnote w:id="26518">
    <w:p>
      <w:pPr>
        <w:pStyle w:val="FootnoteText"/>
      </w:pPr>
      <w:r>
        <w:rPr>
          <w:rStyle w:val="FootnoteReference"/>
        </w:rPr>
        <w:footnoteRef/>
      </w:r>
      <w:r>
        <w:t xml:space="preserve">
          <w:r>
            <w:t xml:space="preserve">
              <w:r>
                <w:t xml:space="preserve"> George F. Kunz, The Curious Lore of Precious Stones, Dover Publications, New York, 1971, p. 37, 227, 229, 293, 294,</w:t>
              </w:r>
            </w:t>
          </w:r>
        </w:t>
      </w:r>
    </w:p>
  </w:footnote>
  <w:footnote w:id="15299">
    <w:p>
      <w:pPr>
        <w:pStyle w:val="FootnoteText"/>
      </w:pPr>
      <w:r>
        <w:rPr>
          <w:rStyle w:val="FootnoteReference"/>
        </w:rPr>
        <w:footnoteRef/>
      </w:r>
      <w:r>
        <w:t xml:space="preserve">
          <w:r>
            <w:t xml:space="preserve">
              <w:r>
                <w:t xml:space="preserve"> Wikipedia, “Lapis Lazuli,” accessed June 18, 2024, https://en.wikipedia.org/wiki/Lapis_lazuli.</w:t>
              </w:r>
            </w:t>
          </w:r>
        </w:t>
      </w:r>
    </w:p>
  </w:footnote>
  <w:footnote w:id="11205">
    <w:p>
      <w:pPr>
        <w:pStyle w:val="FootnoteText"/>
      </w:pPr>
      <w:r>
        <w:rPr>
          <w:rStyle w:val="FootnoteReference"/>
        </w:rPr>
        <w:footnoteRef/>
      </w:r>
      <w:r>
        <w:t xml:space="preserve">
          <w:r>
            <w:t xml:space="preserve">
              <w:r>
                <w:t xml:space="preserve"> James Hastings, </w:t>
              </w:r>
              <w:r>
                <w:rPr>
                  <w:i/>
                </w:rPr>
                <w:t xml:space="preserve">A Dictionary of the Bible</w:t>
              </w:r>
              <w:r>
                <w:t xml:space="preserve">, s.v. “Glory,” 184.</w:t>
              </w:r>
            </w:t>
          </w:r>
        </w:t>
      </w:r>
    </w:p>
  </w:footnote>
  <w:footnote w:id="16013">
    <w:p>
      <w:pPr>
        <w:pStyle w:val="FootnoteText"/>
      </w:pPr>
      <w:r>
        <w:rPr>
          <w:rStyle w:val="FootnoteReference"/>
        </w:rPr>
        <w:footnoteRef/>
      </w:r>
      <w:r>
        <w:t xml:space="preserve">
          <w:r>
            <w:t xml:space="preserve">
              <w:r>
                <w:t xml:space="preserve"> Cf. BDB, s.v. כָּבוֹד def. 2c, “of God, glory, in historic theophanies,” 458; Strong’s #03519.</w:t>
              </w:r>
            </w:t>
          </w:r>
        </w:t>
      </w:r>
    </w:p>
  </w:footnote>
  <w:footnote w:id="23129">
    <w:p>
      <w:pPr>
        <w:pStyle w:val="FootnoteText"/>
      </w:pPr>
      <w:r>
        <w:rPr>
          <w:rStyle w:val="FootnoteReference"/>
        </w:rPr>
        <w:footnoteRef/>
      </w:r>
      <w:r>
        <w:t xml:space="preserve">
          <w:r>
            <w:t xml:space="preserve">
              <w:r>
                <w:t xml:space="preserve"> Elliger and Rudolf, eds., </w:t>
              </w:r>
              <w:r>
                <w:rPr>
                  <w:i/>
                </w:rPr>
                <w:t xml:space="preserve">Biblia Hebraica Stuttgartensia</w:t>
              </w:r>
              <w:r>
                <w:t xml:space="preserve"> (Hebrew Bible, Stuttgart [BHS] as preserved in the Leningrad Codex [WTT]).</w:t>
              </w:r>
            </w:t>
          </w:r>
        </w:t>
      </w:r>
    </w:p>
  </w:footnote>
  <w:footnote w:id="28185">
    <w:p>
      <w:pPr>
        <w:pStyle w:val="FootnoteText"/>
      </w:pPr>
      <w:r>
        <w:rPr>
          <w:rStyle w:val="FootnoteReference"/>
        </w:rPr>
        <w:footnoteRef/>
      </w:r>
      <w:r>
        <w:t xml:space="preserve">
          <w:r>
            <w:t xml:space="preserve">
              <w:r>
                <w:t xml:space="preserve"> Cf. Leslie C. Allen [WBC].</w:t>
              </w:r>
            </w:t>
          </w:r>
        </w:t>
      </w:r>
    </w:p>
  </w:footnote>
  <w:footnote w:id="31803">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135-136.</w:t>
              </w:r>
            </w:t>
          </w:r>
        </w:t>
      </w:r>
    </w:p>
  </w:footnote>
  <w:footnote w:id="32579">
    <w:p>
      <w:pPr>
        <w:pStyle w:val="FootnoteText"/>
      </w:pPr>
      <w:r>
        <w:rPr>
          <w:rStyle w:val="FootnoteReference"/>
        </w:rPr>
        <w:footnoteRef/>
      </w:r>
      <w:r>
        <w:t xml:space="preserve">
          <w:r>
            <w:t xml:space="preserve">
              <w:r>
                <w:t xml:space="preserve"> Schumacher, Across the Jordan, 5.</w:t>
              </w:r>
            </w:t>
          </w:r>
        </w:t>
      </w:r>
    </w:p>
  </w:footnote>
  <w:footnote w:id="30229">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242.</w:t>
              </w:r>
            </w:t>
          </w:r>
        </w:t>
      </w:r>
    </w:p>
  </w:footnote>
  <w:footnote w:id="28103">
    <w:p>
      <w:pPr>
        <w:pStyle w:val="FootnoteText"/>
      </w:pPr>
      <w:r>
        <w:rPr>
          <w:rStyle w:val="FootnoteReference"/>
        </w:rPr>
        <w:footnoteRef/>
      </w:r>
      <w:r>
        <w:t xml:space="preserve">
          <w:r>
            <w:t xml:space="preserve">
              <w:r>
                <w:t xml:space="preserve"> Bullinger, </w:t>
              </w:r>
              <w:r>
                <w:rPr>
                  <w:i/>
                </w:rPr>
                <w:t xml:space="preserve">Companion Bible</w:t>
              </w:r>
              <w:r>
                <w:t xml:space="preserve">, Appendix 33.</w:t>
              </w:r>
            </w:t>
          </w:r>
        </w:t>
      </w:r>
    </w:p>
  </w:footnote>
  <w:footnote w:id="25991">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Ezekiel, 133.</w:t>
              </w:r>
            </w:t>
          </w:r>
        </w:t>
      </w:r>
    </w:p>
  </w:footnote>
  <w:footnote w:id="16612">
    <w:p>
      <w:pPr>
        <w:pStyle w:val="FootnoteText"/>
      </w:pPr>
      <w:r>
        <w:rPr>
          <w:rStyle w:val="FootnoteReference"/>
        </w:rPr>
        <w:footnoteRef/>
      </w:r>
      <w:r>
        <w:t xml:space="preserve">
          <w:r>
            <w:t xml:space="preserve">
              <w:r>
                <w:t xml:space="preserve"> John Taylor, </w:t>
              </w:r>
              <w:r>
                <w:rPr>
                  <w:i/>
                </w:rPr>
                <w:t xml:space="preserve">Ezekiel</w:t>
              </w:r>
              <w:r>
                <w:t xml:space="preserve"> [TOTC].</w:t>
              </w:r>
            </w:t>
          </w:r>
        </w:t>
      </w:r>
    </w:p>
  </w:footnote>
  <w:footnote w:id="13500">
    <w:p>
      <w:pPr>
        <w:pStyle w:val="FootnoteText"/>
      </w:pPr>
      <w:r>
        <w:rPr>
          <w:rStyle w:val="FootnoteReference"/>
        </w:rPr>
        <w:footnoteRef/>
      </w:r>
      <w:r>
        <w:t xml:space="preserve">
          <w:r>
            <w:t xml:space="preserve">
              <w:r>
                <w:t xml:space="preserve"> Keil and Delitzsch, </w:t>
              </w:r>
              <w:r>
                <w:rPr>
                  <w:i/>
                </w:rPr>
                <w:t xml:space="preserve">Commentary on the Old Testament: Ezekiel</w:t>
              </w:r>
              <w:r>
                <w:t xml:space="preserve">, 140-41.</w:t>
              </w:r>
            </w:t>
          </w:r>
        </w:t>
      </w:r>
    </w:p>
  </w:footnote>
  <w:footnote w:id="14014">
    <w:p>
      <w:pPr>
        <w:pStyle w:val="FootnoteText"/>
      </w:pPr>
      <w:r>
        <w:rPr>
          <w:rStyle w:val="FootnoteReference"/>
        </w:rPr>
        <w:footnoteRef/>
      </w:r>
      <w:r>
        <w:t xml:space="preserve">
          <w:r>
            <w:t xml:space="preserve">
              <w:r>
                <w:t xml:space="preserve"> Block, </w:t>
              </w:r>
              <w:r>
                <w:rPr>
                  <w:i/>
                </w:rPr>
                <w:t xml:space="preserve">The Book of Ezekiel: Chapters 1-24</w:t>
              </w:r>
              <w:r>
                <w:t xml:space="preserve"> [NICOT], 328.</w:t>
              </w:r>
            </w:t>
          </w:r>
        </w:t>
      </w:r>
    </w:p>
  </w:footnote>
  <w:footnote w:id="16747">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w:t>
              </w:r>
            </w:t>
          </w:r>
        </w:t>
      </w:r>
    </w:p>
  </w:footnote>
  <w:footnote w:id="13644">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404.</w:t>
              </w:r>
            </w:t>
          </w:r>
        </w:t>
      </w:r>
    </w:p>
  </w:footnote>
  <w:footnote w:id="10401">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488.</w:t>
              </w:r>
            </w:t>
          </w:r>
        </w:t>
      </w:r>
    </w:p>
  </w:footnote>
  <w:footnote w:id="19567">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584n146.</w:t>
              </w:r>
            </w:t>
          </w:r>
        </w:t>
      </w:r>
    </w:p>
  </w:footnote>
  <w:footnote w:id="29277">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592-95.</w:t>
              </w:r>
            </w:t>
          </w:r>
        </w:t>
      </w:r>
    </w:p>
  </w:footnote>
  <w:footnote w:id="13924">
    <w:p>
      <w:pPr>
        <w:pStyle w:val="FootnoteText"/>
      </w:pPr>
      <w:r>
        <w:rPr>
          <w:rStyle w:val="FootnoteReference"/>
        </w:rPr>
        <w:footnoteRef/>
      </w:r>
      <w:r>
        <w:t xml:space="preserve">
          <w:r>
            <w:t xml:space="preserve">
              <w:r>
                <w:t xml:space="preserve"> See Daniel Block, </w:t>
              </w:r>
              <w:r>
                <w:rPr>
                  <w:i/>
                </w:rPr>
                <w:t xml:space="preserve">The Book of Ezekiel: Chapters 1-24</w:t>
              </w:r>
              <w:r>
                <w:t xml:space="preserve"> [NICOT], 596.</w:t>
              </w:r>
            </w:t>
          </w:r>
        </w:t>
      </w:r>
    </w:p>
  </w:footnote>
  <w:footnote w:id="22599">
    <w:p>
      <w:pPr>
        <w:pStyle w:val="FootnoteText"/>
      </w:pPr>
      <w:r>
        <w:rPr>
          <w:rStyle w:val="FootnoteReference"/>
        </w:rPr>
        <w:footnoteRef/>
      </w:r>
      <w:r>
        <w:t xml:space="preserve">
          <w:r>
            <w:t xml:space="preserve">
              <w:r>
                <w:t xml:space="preserve"> Daniel Block,</w:t>
              </w:r>
              <w:r>
                <w:rPr>
                  <w:i/>
                </w:rPr>
                <w:t xml:space="preserve">The Book of Ezekiel: Chapters 1-24</w:t>
              </w:r>
              <w:r>
                <w:t xml:space="preserve"> [NICOT], 608.</w:t>
              </w:r>
            </w:t>
          </w:r>
        </w:t>
      </w:r>
    </w:p>
  </w:footnote>
  <w:footnote w:id="12736">
    <w:p>
      <w:pPr>
        <w:pStyle w:val="FootnoteText"/>
      </w:pPr>
      <w:r>
        <w:rPr>
          <w:rStyle w:val="FootnoteReference"/>
        </w:rPr>
        <w:footnoteRef/>
      </w:r>
      <w:r>
        <w:t xml:space="preserve">
          <w:r>
            <w:t xml:space="preserve">
              <w:r>
                <w:t xml:space="preserve"> Block, </w:t>
              </w:r>
              <w:r>
                <w:rPr>
                  <w:i/>
                </w:rPr>
                <w:t xml:space="preserve">The Book of Ezekiel</w:t>
              </w:r>
              <w:r>
                <w:t xml:space="preserve"> [NICOT], 607n68. He refers to J. A. Bewer, “Textual and Exegetical Notes on Ezekiel,” JBL 72, no. 3 (1953): 159.</w:t>
              </w:r>
            </w:t>
          </w:r>
        </w:t>
      </w:r>
    </w:p>
  </w:footnote>
  <w:footnote w:id="26308">
    <w:p>
      <w:pPr>
        <w:pStyle w:val="FootnoteText"/>
      </w:pPr>
      <w:r>
        <w:rPr>
          <w:rStyle w:val="FootnoteReference"/>
        </w:rPr>
        <w:footnoteRef/>
      </w:r>
      <w:r>
        <w:t xml:space="preserve">
          <w:r>
            <w:t xml:space="preserve">
              <w:r>
                <w:t xml:space="preserve"> Translation by Daniel Block, </w:t>
              </w:r>
              <w:r>
                <w:rPr>
                  <w:i/>
                </w:rPr>
                <w:t xml:space="preserve">The Book of Ezekiel; Chapters 1-24</w:t>
              </w:r>
              <w:r>
                <w:t xml:space="preserve"> [NICOT], 625.</w:t>
              </w:r>
            </w:t>
          </w:r>
        </w:t>
      </w:r>
    </w:p>
  </w:footnote>
  <w:footnote w:id="14433">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663.</w:t>
              </w:r>
            </w:t>
          </w:r>
        </w:t>
      </w:r>
    </w:p>
  </w:footnote>
  <w:footnote w:id="1722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175.</w:t>
              </w:r>
            </w:t>
          </w:r>
        </w:t>
      </w:r>
    </w:p>
  </w:footnote>
  <w:footnote w:id="26493">
    <w:p>
      <w:pPr>
        <w:pStyle w:val="FootnoteText"/>
      </w:pPr>
      <w:r>
        <w:rPr>
          <w:rStyle w:val="FootnoteReference"/>
        </w:rPr>
        <w:footnoteRef/>
      </w:r>
      <w:r>
        <w:t xml:space="preserve">
          <w:r>
            <w:t xml:space="preserve">
              <w:r>
                <w:t xml:space="preserve"> Robert W. Jenson, </w:t>
              </w:r>
              <w:r>
                <w:rPr>
                  <w:i/>
                </w:rPr>
                <w:t xml:space="preserve">Ezekiel</w:t>
              </w:r>
              <w:r>
                <w:t xml:space="preserve">, Brazos Theological Commentary on the Bible. Kindle edition, 202.</w:t>
              </w:r>
            </w:t>
          </w:r>
        </w:t>
      </w:r>
    </w:p>
  </w:footnote>
  <w:footnote w:id="21801">
    <w:p>
      <w:pPr>
        <w:pStyle w:val="FootnoteText"/>
      </w:pPr>
      <w:r>
        <w:rPr>
          <w:rStyle w:val="FootnoteReference"/>
        </w:rPr>
        <w:footnoteRef/>
      </w:r>
      <w:r>
        <w:t xml:space="preserve">
          <w:r>
            <w:t xml:space="preserve">
              <w:r>
                <w:t xml:space="preserve"> Daniel I. Block, </w:t>
              </w:r>
              <w:r>
                <w:rPr>
                  <w:i/>
                </w:rPr>
                <w:t xml:space="preserve">The Book of Ezekiel Chapters 1-24</w:t>
              </w:r>
              <w:r>
                <w:t xml:space="preserve"> [NICOT], 738.</w:t>
              </w:r>
            </w:t>
          </w:r>
        </w:t>
      </w:r>
    </w:p>
  </w:footnote>
  <w:footnote w:id="17087">
    <w:p>
      <w:pPr>
        <w:pStyle w:val="FootnoteText"/>
      </w:pPr>
      <w:r>
        <w:rPr>
          <w:rStyle w:val="FootnoteReference"/>
        </w:rPr>
        <w:footnoteRef/>
      </w:r>
      <w:r>
        <w:t xml:space="preserve">
          <w:r>
            <w:t xml:space="preserve">
              <w:r>
                <w:t xml:space="preserve"> Block, </w:t>
              </w:r>
              <w:r>
                <w:rPr>
                  <w:i/>
                </w:rPr>
                <w:t xml:space="preserve">The Book of Ezekiel</w:t>
              </w:r>
              <w:r>
                <w:t xml:space="preserve"> [NICOT], 738.</w:t>
              </w:r>
            </w:t>
          </w:r>
        </w:t>
      </w:r>
    </w:p>
  </w:footnote>
  <w:footnote w:id="25223">
    <w:p>
      <w:pPr>
        <w:pStyle w:val="FootnoteText"/>
      </w:pPr>
      <w:r>
        <w:rPr>
          <w:rStyle w:val="FootnoteReference"/>
        </w:rPr>
        <w:footnoteRef/>
      </w:r>
      <w:r>
        <w:t xml:space="preserve">
          <w:r>
            <w:t xml:space="preserve">
              <w:r>
                <w:t xml:space="preserve"> Allen, </w:t>
              </w:r>
              <w:r>
                <w:rPr>
                  <w:i/>
                </w:rPr>
                <w:t xml:space="preserve">Ezekiel 20-48</w:t>
              </w:r>
              <w:r>
                <w:t xml:space="preserve"> [WBC]. See also Daniel Block, </w:t>
              </w:r>
              <w:r>
                <w:rPr>
                  <w:i/>
                </w:rPr>
                <w:t xml:space="preserve">The Book of Ezekiel; Chapters 1-24</w:t>
              </w:r>
              <w:r>
                <w:t xml:space="preserve"> [NICOT], 737.</w:t>
              </w:r>
            </w:t>
          </w:r>
        </w:t>
      </w:r>
    </w:p>
  </w:footnote>
  <w:footnote w:id="24927">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744-45.</w:t>
              </w:r>
            </w:t>
          </w:r>
        </w:t>
      </w:r>
    </w:p>
  </w:footnote>
  <w:footnote w:id="15162">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743.</w:t>
              </w:r>
            </w:t>
          </w:r>
        </w:t>
      </w:r>
    </w:p>
  </w:footnote>
  <w:footnote w:id="12068">
    <w:p>
      <w:pPr>
        <w:pStyle w:val="FootnoteText"/>
      </w:pPr>
      <w:r>
        <w:rPr>
          <w:rStyle w:val="FootnoteReference"/>
        </w:rPr>
        <w:footnoteRef/>
      </w:r>
      <w:r>
        <w:t xml:space="preserve">
          <w:r>
            <w:t xml:space="preserve">
              <w:r>
                <w:t xml:space="preserve"> Daniel Block, </w:t>
              </w:r>
              <w:r>
                <w:rPr>
                  <w:i/>
                </w:rPr>
                <w:t xml:space="preserve">The Book of Ezekiel: Chapters 1-24</w:t>
              </w:r>
              <w:r>
                <w:t xml:space="preserve"> [NICOT], 748n103.</w:t>
              </w:r>
            </w:t>
          </w:r>
        </w:t>
      </w:r>
    </w:p>
  </w:footnote>
  <w:footnote w:id="30128">
    <w:p>
      <w:pPr>
        <w:pStyle w:val="FootnoteText"/>
      </w:pPr>
      <w:r>
        <w:rPr>
          <w:rStyle w:val="FootnoteReference"/>
        </w:rPr>
        <w:footnoteRef/>
      </w:r>
      <w:r>
        <w:t xml:space="preserve">
          <w:r>
            <w:t xml:space="preserve">
              <w:r>
                <w:t xml:space="preserve"> Cf. Moshe Greenberg, </w:t>
              </w:r>
              <w:r>
                <w:rPr>
                  <w:i/>
                </w:rPr>
                <w:t xml:space="preserve">Ezekiel 21-37</w:t>
              </w:r>
              <w:r>
                <w:t xml:space="preserve"> [AB].</w:t>
              </w:r>
            </w:t>
          </w:r>
        </w:t>
      </w:r>
    </w:p>
  </w:footnote>
  <w:footnote w:id="28691">
    <w:p>
      <w:pPr>
        <w:pStyle w:val="FootnoteText"/>
      </w:pPr>
      <w:r>
        <w:rPr>
          <w:rStyle w:val="FootnoteReference"/>
        </w:rPr>
        <w:footnoteRef/>
      </w:r>
      <w:r>
        <w:t xml:space="preserve">
          <w:r>
            <w:t xml:space="preserve">
              <w:r>
                <w:t xml:space="preserve"> Daniel Block, </w:t>
              </w:r>
              <w:r>
                <w:rPr>
                  <w:i/>
                </w:rPr>
                <w:t xml:space="preserve">The Book of Ezekiel: Chapters 25-48</w:t>
              </w:r>
              <w:r>
                <w:t xml:space="preserve"> [NICOT], 48.</w:t>
              </w:r>
            </w:t>
          </w:r>
        </w:t>
      </w:r>
    </w:p>
  </w:footnote>
  <w:footnote w:id="13402">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22743">
    <w:p>
      <w:pPr>
        <w:pStyle w:val="FootnoteText"/>
      </w:pPr>
      <w:r>
        <w:rPr>
          <w:rStyle w:val="FootnoteReference"/>
        </w:rPr>
        <w:footnoteRef/>
      </w:r>
      <w:r>
        <w:t xml:space="preserve">
          <w:r>
            <w:t xml:space="preserve">
              <w:r>
                <w:t xml:space="preserve"> </w:t>
              </w:r>
              <w:r>
                <w:rPr>
                  <w:i/>
                </w:rPr>
                <w:t xml:space="preserve">Holy Bible: Pilgrim Edition</w:t>
              </w:r>
              <w:r>
                <w:t xml:space="preserve">, Oxford University Press, 1948.</w:t>
              </w:r>
            </w:t>
          </w:r>
        </w:t>
      </w:r>
    </w:p>
  </w:footnote>
  <w:footnote w:id="20819">
    <w:p>
      <w:pPr>
        <w:pStyle w:val="FootnoteText"/>
      </w:pPr>
      <w:r>
        <w:rPr>
          <w:rStyle w:val="FootnoteReference"/>
        </w:rPr>
        <w:footnoteRef/>
      </w:r>
      <w:r>
        <w:t xml:space="preserve">
          <w:r>
            <w:t xml:space="preserve">
              <w:r>
                <w:t xml:space="preserve"> McGee, </w:t>
              </w:r>
              <w:r>
                <w:rPr>
                  <w:i/>
                </w:rPr>
                <w:t xml:space="preserve">Thru the Bible with J. Vernon McGee: Proverbs - Malachi</w:t>
              </w:r>
              <w:r>
                <w:t xml:space="preserve">.</w:t>
              </w:r>
            </w:t>
          </w:r>
        </w:t>
      </w:r>
    </w:p>
  </w:footnote>
  <w:footnote w:id="11910">
    <w:p>
      <w:pPr>
        <w:pStyle w:val="FootnoteText"/>
      </w:pPr>
      <w:r>
        <w:rPr>
          <w:rStyle w:val="FootnoteReference"/>
        </w:rPr>
        <w:footnoteRef/>
      </w:r>
      <w:r>
        <w:t xml:space="preserve">
          <w:r>
            <w:t xml:space="preserve">
              <w:r>
                <w:t xml:space="preserve"> </w:t>
              </w:r>
              <w:r>
                <w:rPr>
                  <w:i/>
                </w:rPr>
                <w:t xml:space="preserve">Scofield Study Bible</w:t>
              </w:r>
              <w:r>
                <w:t xml:space="preserve">, English Standard Version, Oxford University Press, New York, 2006.</w:t>
              </w:r>
            </w:t>
          </w:r>
        </w:t>
      </w:r>
    </w:p>
  </w:footnote>
  <w:footnote w:id="16358">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16578">
    <w:p>
      <w:pPr>
        <w:pStyle w:val="FootnoteText"/>
      </w:pPr>
      <w:r>
        <w:rPr>
          <w:rStyle w:val="FootnoteReference"/>
        </w:rPr>
        <w:footnoteRef/>
      </w:r>
      <w:r>
        <w:t xml:space="preserve">
          <w:r>
            <w:t xml:space="preserve">
              <w:r>
                <w:t xml:space="preserve"> Robert L. Thomas, ed., </w:t>
              </w:r>
              <w:r>
                <w:rPr>
                  <w:i/>
                </w:rPr>
                <w:t xml:space="preserve">New American Standard Exhaustive Concordance of the Bible : Including Hebrew-Aramaic and Greek Dictionaries</w:t>
              </w:r>
              <w:r>
                <w:t xml:space="preserve">.</w:t>
              </w:r>
            </w:t>
          </w:r>
        </w:t>
      </w:r>
    </w:p>
  </w:footnote>
  <w:footnote w:id="18473">
    <w:p>
      <w:pPr>
        <w:pStyle w:val="FootnoteText"/>
      </w:pPr>
      <w:r>
        <w:rPr>
          <w:rStyle w:val="FootnoteReference"/>
        </w:rPr>
        <w:footnoteRef/>
      </w:r>
      <w:r>
        <w:t xml:space="preserve">
          <w:r>
            <w:t xml:space="preserve">
              <w:r>
                <w:t xml:space="preserve"> Richard Clifford, </w:t>
              </w:r>
              <w:r>
                <w:rPr>
                  <w:i/>
                </w:rPr>
                <w:t xml:space="preserve">The Cosmic Mountain in Canaan and the Old Testament</w:t>
              </w:r>
              <w:r>
                <w:t xml:space="preserve">, 159.</w:t>
              </w:r>
            </w:t>
          </w:r>
        </w:t>
      </w:r>
    </w:p>
  </w:footnote>
  <w:footnote w:id="19504">
    <w:p>
      <w:pPr>
        <w:pStyle w:val="FootnoteText"/>
      </w:pPr>
      <w:r>
        <w:rPr>
          <w:rStyle w:val="FootnoteReference"/>
        </w:rPr>
        <w:footnoteRef/>
      </w:r>
      <w:r>
        <w:t xml:space="preserve">
          <w:r>
            <w:t xml:space="preserve">
              <w:r>
                <w:t xml:space="preserve"> See translation by Daniel Block, </w:t>
              </w:r>
              <w:r>
                <w:rPr>
                  <w:i/>
                </w:rPr>
                <w:t xml:space="preserve">The Book of Ezekiel: Chapters 25-48</w:t>
              </w:r>
              <w:r>
                <w:t xml:space="preserve"> [NICOT].</w:t>
              </w:r>
            </w:t>
          </w:r>
        </w:t>
      </w:r>
    </w:p>
  </w:footnote>
  <w:footnote w:id="28834">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183.</w:t>
              </w:r>
            </w:t>
          </w:r>
        </w:t>
      </w:r>
    </w:p>
  </w:footnote>
  <w:footnote w:id="13910">
    <w:p>
      <w:pPr>
        <w:pStyle w:val="FootnoteText"/>
      </w:pPr>
      <w:r>
        <w:rPr>
          <w:rStyle w:val="FootnoteReference"/>
        </w:rPr>
        <w:footnoteRef/>
      </w:r>
      <w:r>
        <w:t xml:space="preserve">
          <w:r>
            <w:t xml:space="preserve">
              <w:r>
                <w:t xml:space="preserve"> Daniel I. Block, </w:t>
              </w:r>
              <w:r>
                <w:rPr>
                  <w:i/>
                </w:rPr>
                <w:t xml:space="preserve">Ezekiel: Chapters 25-48</w:t>
              </w:r>
              <w:r>
                <w:t xml:space="preserve"> [NICOT], 184-187.</w:t>
              </w:r>
            </w:t>
          </w:r>
        </w:t>
      </w:r>
    </w:p>
  </w:footnote>
  <w:footnote w:id="2434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215.</w:t>
              </w:r>
            </w:t>
          </w:r>
        </w:t>
      </w:r>
    </w:p>
  </w:footnote>
  <w:footnote w:id="29696">
    <w:p>
      <w:pPr>
        <w:pStyle w:val="FootnoteText"/>
      </w:pPr>
      <w:r>
        <w:rPr>
          <w:rStyle w:val="FootnoteReference"/>
        </w:rPr>
        <w:footnoteRef/>
      </w:r>
      <w:r>
        <w:t xml:space="preserve">
          <w:r>
            <w:t xml:space="preserve">
              <w:r>
                <w:t xml:space="preserve"> Keil &amp; Delitzsch, </w:t>
              </w:r>
              <w:r>
                <w:rPr>
                  <w:i/>
                </w:rPr>
                <w:t xml:space="preserve">Commentary on the Old Testament: Ezekiel, Daniel</w:t>
              </w:r>
              <w:r>
                <w:t xml:space="preserve">, 160-61.</w:t>
              </w:r>
            </w:t>
          </w:r>
        </w:t>
      </w:r>
    </w:p>
  </w:footnote>
  <w:footnote w:id="13521">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174-75.</w:t>
              </w:r>
            </w:t>
          </w:r>
        </w:t>
      </w:r>
    </w:p>
  </w:footnote>
  <w:footnote w:id="18104">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w:t>
              </w:r>
            </w:t>
          </w:r>
        </w:t>
      </w:r>
    </w:p>
  </w:footnote>
  <w:footnote w:id="23769">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518n24.</w:t>
              </w:r>
            </w:t>
          </w:r>
        </w:t>
      </w:r>
    </w:p>
  </w:footnote>
  <w:footnote w:id="28376">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524.</w:t>
              </w:r>
            </w:t>
          </w:r>
        </w:t>
      </w:r>
    </w:p>
  </w:footnote>
  <w:footnote w:id="13581">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535-37.</w:t>
              </w:r>
            </w:t>
          </w:r>
        </w:t>
      </w:r>
    </w:p>
  </w:footnote>
  <w:footnote w:id="25301">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553.</w:t>
              </w:r>
            </w:t>
          </w:r>
        </w:t>
      </w:r>
    </w:p>
  </w:footnote>
  <w:footnote w:id="30207">
    <w:p>
      <w:pPr>
        <w:pStyle w:val="FootnoteText"/>
      </w:pPr>
      <w:r>
        <w:rPr>
          <w:rStyle w:val="FootnoteReference"/>
        </w:rPr>
        <w:footnoteRef/>
      </w:r>
      <w:r>
        <w:t xml:space="preserve">
          <w:r>
            <w:t xml:space="preserve">
              <w:r>
                <w:t xml:space="preserve"> Daniel I. Block, </w:t>
              </w:r>
              <w:r>
                <w:rPr>
                  <w:i/>
                </w:rPr>
                <w:t xml:space="preserve">The Book of Ezekiel: Chapters 25-48</w:t>
              </w:r>
              <w:r>
                <w:t xml:space="preserve"> [NICOT], 570.</w:t>
              </w:r>
            </w:t>
          </w:r>
        </w:t>
      </w:r>
    </w:p>
  </w:footnote>
  <w:footnote w:id="13960">
    <w:p>
      <w:pPr>
        <w:pStyle w:val="FootnoteText"/>
      </w:pPr>
      <w:r>
        <w:rPr>
          <w:rStyle w:val="FootnoteReference"/>
        </w:rPr>
        <w:footnoteRef/>
      </w:r>
      <w:r>
        <w:t xml:space="preserve">
          <w:r>
            <w:t xml:space="preserve">
              <w:r>
                <w:t xml:space="preserve"> Cf. Keil and Delitzsch, </w:t>
              </w:r>
              <w:r>
                <w:rPr>
                  <w:i/>
                </w:rPr>
                <w:t xml:space="preserve">Commentary on the Old Testament: Ezekiel and Daniel</w:t>
              </w:r>
              <w:r>
                <w:t xml:space="preserve">, 280-81.</w:t>
              </w:r>
            </w:t>
          </w:r>
        </w:t>
      </w:r>
    </w:p>
  </w:footnote>
  <w:footnote w:id="21026">
    <w:p>
      <w:pPr>
        <w:pStyle w:val="FootnoteText"/>
      </w:pPr>
      <w:r>
        <w:rPr>
          <w:rStyle w:val="FootnoteReference"/>
        </w:rPr>
        <w:footnoteRef/>
      </w:r>
      <w:r>
        <w:t xml:space="preserve">
          <w:r>
            <w:t xml:space="preserve">
              <w:r>
                <w:t xml:space="preserve"> Keil and Delitzsch, </w:t>
              </w:r>
              <w:r>
                <w:rPr>
                  <w:i/>
                </w:rPr>
                <w:t xml:space="preserve">Commentary on the Old Testament: Ezekiel and Daniel</w:t>
              </w:r>
              <w:r>
                <w:t xml:space="preserve">, 380.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960494">
    <w:multiLevelType w:val="hybridMultilevel"/>
    <w:lvl w:ilvl="0" w:tplc="64245868">
      <w:start w:val="1"/>
      <w:numFmt w:val="decimal"/>
      <w:lvlText w:val="%1."/>
      <w:lvlJc w:val="left"/>
      <w:pPr>
        <w:ind w:left="720" w:hanging="360"/>
      </w:pPr>
    </w:lvl>
    <w:lvl w:ilvl="1" w:tplc="64245868" w:tentative="1">
      <w:start w:val="1"/>
      <w:numFmt w:val="lowerLetter"/>
      <w:lvlText w:val="%2."/>
      <w:lvlJc w:val="left"/>
      <w:pPr>
        <w:ind w:left="1440" w:hanging="360"/>
      </w:pPr>
    </w:lvl>
    <w:lvl w:ilvl="2" w:tplc="64245868" w:tentative="1">
      <w:start w:val="1"/>
      <w:numFmt w:val="lowerRoman"/>
      <w:lvlText w:val="%3."/>
      <w:lvlJc w:val="right"/>
      <w:pPr>
        <w:ind w:left="2160" w:hanging="180"/>
      </w:pPr>
    </w:lvl>
    <w:lvl w:ilvl="3" w:tplc="64245868" w:tentative="1">
      <w:start w:val="1"/>
      <w:numFmt w:val="decimal"/>
      <w:lvlText w:val="%4."/>
      <w:lvlJc w:val="left"/>
      <w:pPr>
        <w:ind w:left="2880" w:hanging="360"/>
      </w:pPr>
    </w:lvl>
    <w:lvl w:ilvl="4" w:tplc="64245868" w:tentative="1">
      <w:start w:val="1"/>
      <w:numFmt w:val="lowerLetter"/>
      <w:lvlText w:val="%5."/>
      <w:lvlJc w:val="left"/>
      <w:pPr>
        <w:ind w:left="3600" w:hanging="360"/>
      </w:pPr>
    </w:lvl>
    <w:lvl w:ilvl="5" w:tplc="64245868" w:tentative="1">
      <w:start w:val="1"/>
      <w:numFmt w:val="lowerRoman"/>
      <w:lvlText w:val="%6."/>
      <w:lvlJc w:val="right"/>
      <w:pPr>
        <w:ind w:left="4320" w:hanging="180"/>
      </w:pPr>
    </w:lvl>
    <w:lvl w:ilvl="6" w:tplc="64245868" w:tentative="1">
      <w:start w:val="1"/>
      <w:numFmt w:val="decimal"/>
      <w:lvlText w:val="%7."/>
      <w:lvlJc w:val="left"/>
      <w:pPr>
        <w:ind w:left="5040" w:hanging="360"/>
      </w:pPr>
    </w:lvl>
    <w:lvl w:ilvl="7" w:tplc="64245868" w:tentative="1">
      <w:start w:val="1"/>
      <w:numFmt w:val="lowerLetter"/>
      <w:lvlText w:val="%8."/>
      <w:lvlJc w:val="left"/>
      <w:pPr>
        <w:ind w:left="5760" w:hanging="360"/>
      </w:pPr>
    </w:lvl>
    <w:lvl w:ilvl="8" w:tplc="64245868" w:tentative="1">
      <w:start w:val="1"/>
      <w:numFmt w:val="lowerRoman"/>
      <w:lvlText w:val="%9."/>
      <w:lvlJc w:val="right"/>
      <w:pPr>
        <w:ind w:left="6480" w:hanging="180"/>
      </w:pPr>
    </w:lvl>
  </w:abstractNum>
  <w:abstractNum w:abstractNumId="22592">
    <w:multiLevelType w:val="hybridMultilevel"/>
    <w:lvl w:ilvl="0" w:tplc="6146480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592">
    <w:abstractNumId w:val="22592"/>
  </w:num>
  <w:num w:numId="33960494">
    <w:abstractNumId w:val="339604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1784578" Type="http://schemas.openxmlformats.org/officeDocument/2006/relationships/numbering" Target="numbering.xml"/><Relationship Id="rId888463703" Type="http://schemas.openxmlformats.org/officeDocument/2006/relationships/comments" Target="comments.xml"/><Relationship Id="rId4797684eb8332381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