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4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FootnoteReference"/>
        </w:rPr>
        <w:footnoteReference w:id="28166"/>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w:t>
      </w:r>
      <w:r>
        <w:rPr>
          <w:b/>
          <w:bCs/>
          <w:i/>
          <w:iCs/>
        </w:rPr>
        <w:t xml:space="preserve">The fact</w:t>
      </w:r>
      <w:r>
        <w:rPr>
          <w:b/>
          <w:bCs/>
        </w:rPr>
        <w:t xml:space="preserve"> that you will be counted worthy of the Kingdom of God...is evidence of the righteous judgment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FootnoteReference"/>
        </w:rPr>
        <w:footnoteReference w:id="25661"/>
      </w:r>
    </w:p>
    <w:p>
      <w:pPr>
        <w:pStyle w:val="rNormal"/>
        <w:widowControl w:val="on"/>
        <w:spacing w:before="240" w:after="240" w:line="240" w:lineRule="auto"/>
        <w:ind w:left="312" w:right="0" w:firstLine="2"/>
        <w:jc w:val="left"/>
      </w:pPr>
      <w:r>
        <w:rPr/>
        <w:t xml:space="preserve">(1) To indicate </w:t>
      </w:r>
      <w:r>
        <w:rPr>
          <w:i/>
          <w:iCs/>
        </w:rPr>
        <w:t xml:space="preserve">the purpose of the persecutions and afflictions</w:t>
      </w:r>
      <w:r>
        <w:rPr/>
        <w:t xml:space="preserve"> (v. 4): “This is evidence of the righteous judgment of God, and is intended to make you worthy of the Kingdom of God” (NRSV; cf. NASB, NET). This view makes the sufferings of the Thessalonians part of God’s intention to count them worthy.</w:t>
      </w:r>
    </w:p>
    <w:p>
      <w:pPr>
        <w:pStyle w:val="rNormal"/>
        <w:widowControl w:val="on"/>
        <w:spacing w:before="240" w:after="240" w:line="240" w:lineRule="auto"/>
        <w:ind w:left="312" w:right="0" w:firstLine="2"/>
        <w:jc w:val="left"/>
      </w:pPr>
      <w:r>
        <w:rPr/>
        <w:t xml:space="preserve">(2) To indicate </w:t>
      </w:r>
      <w:r>
        <w:rPr>
          <w:i/>
          <w:iCs/>
        </w:rPr>
        <w:t xml:space="preserve">the result of the persecutions and afflictions</w:t>
      </w:r>
      <w:r>
        <w:rPr/>
        <w:t xml:space="preserve"> (v. 4):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the evidence is</w:t>
      </w:r>
      <w:r>
        <w:rPr/>
        <w:t xml:space="preserve"> (this is known as “epexegetical” usage</w:t>
      </w:r>
      <w:r>
        <w:rPr>
          <w:rStyle w:val="FootnoteReference"/>
        </w:rPr>
        <w:footnoteReference w:id="13499"/>
      </w:r>
      <w:r>
        <w:rPr/>
        <w:t xml:space="preserve">): “It is a clear evidence of God’s righteous judgment that you will be counted worthy of God’s kingdom” (HCSB). On this view the “being counted worthy” is simply an elaboration on what the “evidence” is. In other words, the evidence that the judgment (i.e., legal opinion) of God is right, is that God considers the Thessalonians worthy.</w:t>
      </w:r>
    </w:p>
    <w:p>
      <w:pPr>
        <w:pStyle w:val="rNormal"/>
        <w:widowControl w:val="on"/>
        <w:spacing w:before="240" w:after="240" w:line="240" w:lineRule="auto"/>
        <w:ind w:left="0" w:right="0"/>
        <w:jc w:val="left"/>
      </w:pPr>
      <w:r>
        <w:rPr/>
        <w:t xml:space="preserve">Like the HCSB, the REV translation takes the third option. In this sense, the </w:t>
      </w:r>
      <w:r>
        <w:rPr>
          <w:i/>
          <w:iCs/>
        </w:rPr>
        <w:t xml:space="preserve">eis</w:t>
      </w:r>
      <w:r>
        <w:rPr/>
        <w:t xml:space="preserve"> with the articular infinitive construction is used as an elaboration of what the evidence is that God’s judgment is right. The phrase “that you will be counted worthy of the Kingdom of God,” is elaborating on what the evidence is. This judgment is said to be “righteous,” from </w:t>
      </w:r>
      <w:r>
        <w:rPr>
          <w:i/>
          <w:iCs/>
        </w:rPr>
        <w:t xml:space="preserve">dikaios</w:t>
      </w:r>
      <w:r>
        <w:rPr/>
        <w:t xml:space="preserve"> (#1342 δίκαιος), meaning, right, correct, fair, and just.</w:t>
      </w:r>
    </w:p>
    <w:p>
      <w:pPr>
        <w:pStyle w:val="rNormal"/>
        <w:widowControl w:val="on"/>
        <w:spacing w:before="240" w:after="240" w:line="240" w:lineRule="auto"/>
        <w:ind w:left="0" w:right="0"/>
        <w:jc w:val="left"/>
      </w:pPr>
      <w:r>
        <w:rPr/>
        <w:t xml:space="preserve">Paul is working from a basic principle of justice that a good judge would reward those who are being unfairly treated and persecuted. Paul relates this principle to the Thessalonian’s situation. He reminds them that God will give relief (2 Thess. 1:7) and the kingdom (2 Thess. 1:5) to the Thessalonians who are suffering unjust persecution. Therefore, Paul seeks to encourage them in their trials and he demonstrates that God is a just and righteous judge.</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FootnoteReference"/>
        </w:rPr>
        <w:footnoteReference w:id="24364"/>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FootnoteReference"/>
        </w:rPr>
        <w:footnoteReference w:id="16655"/>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FootnoteReference"/>
        </w:rPr>
        <w:footnoteReference w:id="31616"/>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FootnoteReference"/>
        </w:rPr>
        <w:footnoteReference w:id="16757"/>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FootnoteReference"/>
        </w:rPr>
        <w:footnoteReference w:id="30958"/>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FootnoteReference"/>
        </w:rPr>
        <w:footnoteReference w:id="19778"/>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FootnoteReference"/>
        </w:rPr>
        <w:footnoteReference w:id="24309"/>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FootnoteReference"/>
        </w:rPr>
        <w:footnoteReference w:id="28780"/>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FootnoteReference"/>
        </w:rPr>
        <w:footnoteReference w:id="10515"/>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 spirit</w:t>
      </w:r>
      <w:r>
        <w:rPr>
          <w:b/>
          <w:bCs/>
          <w:i/>
          <w:iCs/>
        </w:rPr>
        <w:t xml:space="preserve">-inspired utterance</w:t>
      </w:r>
      <w:r>
        <w:rPr>
          <w:b/>
          <w:bCs/>
        </w:rPr>
        <w:t xml:space="preserve">.”</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FootnoteReference"/>
        </w:rPr>
        <w:footnoteReference w:id="12158"/>
      </w:r>
      <w:r>
        <w:rPr/>
        <w:t xml:space="preserve"> It is less likely, but the text is open to “spirit” also having the meaning of an apparition, the appearance of a spirit-being (cf. Gal. 1:8-9). The Greek word </w:t>
      </w:r>
      <w:r>
        <w:rPr>
          <w:i/>
          <w:iCs/>
        </w:rPr>
        <w:t xml:space="preserve">pneuma</w:t>
      </w:r>
      <w:r>
        <w:rPr/>
        <w:t xml:space="preserve">, translated as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FootnoteReference"/>
        </w:rPr>
        <w:footnoteReference w:id="17958"/>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FootnoteReference"/>
        </w:rPr>
        <w:footnoteReference w:id="29785"/>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reference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FootnoteReference"/>
        </w:rPr>
        <w:footnoteReference w:id="12154"/>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 so-called ‘god.’”</w:t>
      </w:r>
      <w:r>
        <w:rPr/>
        <w:t xml:space="preserve"> The “man of lawlessness,” commonly known as the “Antichrist,” will exalt himself above every god and authority, including the true God.</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 as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FootnoteReference"/>
        </w:rPr>
        <w:footnoteReference w:id="18446"/>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FootnoteReference"/>
        </w:rPr>
        <w:footnoteReference w:id="32697"/>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FootnoteReference"/>
        </w:rPr>
        <w:footnoteReference w:id="30949"/>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FootnoteReference"/>
        </w:rPr>
        <w:footnoteReference w:id="31729"/>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semantically accurate, it would have given the wrong impression to the average English reader. The average reader is not used to something that is “sacred” relating to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the word “sacred” refers to things set apart for the worship of any god or deity, and it also relates to things in the religious sphere in general in contrast to the secular or profane sphere. Thus,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“secret” of lawlessness, and certainly part of the fruit of that lawlessness includes the persecution of Christians.</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“only until.”</w:t>
      </w:r>
      <w:r>
        <w:rPr/>
        <w:t xml:space="preserve"> The word </w:t>
      </w:r>
      <w:r>
        <w:rPr>
          <w:i/>
          <w:iCs/>
        </w:rPr>
        <w:t xml:space="preserve">heōs</w:t>
      </w:r>
      <w:r>
        <w:rPr/>
        <w:t xml:space="preserve"> (#2193 ἕως) should be seen as functioning at the beginning of the clause by being in a postpositive position (following ὁ κατέχων ἄρτι) in order “to emphasize the subject of the subordinate clause that it introduces.”</w:t>
      </w:r>
      <w:r>
        <w:rPr>
          <w:rStyle w:val="FootnoteReference"/>
        </w:rPr>
        <w:footnoteReference w:id="12501"/>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“who is now restraining.”</w:t>
      </w:r>
      <w:r>
        <w:rPr/>
        <w:t xml:space="preserve"> The Greek is ambiguous, and simply says, “holding back,” or “restraining.” Many versions supply either the object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prepositional phrase </w:t>
      </w:r>
      <w:r>
        <w:rPr>
          <w:i/>
          <w:iCs/>
        </w:rPr>
        <w:t xml:space="preserve">ek mesou genētai</w:t>
      </w:r>
      <w:r>
        <w:rPr/>
        <w:t xml:space="preserve"> literally reads, “is out from the midst.” Thayer’s lexicon addresses this in his definition of </w:t>
      </w:r>
      <w:r>
        <w:rPr>
          <w:i/>
          <w:iCs/>
        </w:rPr>
        <w:t xml:space="preserve">mesos</w:t>
      </w:r>
      <w:r>
        <w:rPr/>
        <w:t xml:space="preserve"> (#3319 μέσος, “midst”), where it can mean, “out of the way, out of sight… γίνομαι ἐκ μέσου, to be taken out of the way, to disappear.” Thus, the meaning of the phrase </w:t>
      </w:r>
      <w:r>
        <w:rPr>
          <w:i/>
          <w:iCs/>
        </w:rPr>
        <w:t xml:space="preserve">ek mesou</w:t>
      </w:r>
      <w:r>
        <w:rPr/>
        <w:t xml:space="preserve"> conveys a translocation away from the present position (wherever that is).</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earthly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w:t>
      </w:r>
      <w:r>
        <w:rPr>
          <w:b/>
          <w:bCs/>
          <w:i/>
          <w:iCs/>
        </w:rPr>
        <w:t xml:space="preserve">-empowered words</w:t>
      </w:r>
      <w:r>
        <w:rPr>
          <w:b/>
          <w:bCs/>
        </w:rPr>
        <w:t xml:space="preserve"> from his mouth.”</w:t>
      </w:r>
      <w:r>
        <w:rPr/>
        <w:t xml:space="preserve"> The word for “spirit” is </w:t>
      </w:r>
      <w:r>
        <w:rPr>
          <w:i/>
          <w:iCs/>
        </w:rPr>
        <w:t xml:space="preserve">pneuma</w:t>
      </w:r>
      <w:r>
        <w:rPr/>
        <w:t xml:space="preserve"> (#4151 πνεῦμα). However, </w:t>
      </w:r>
      <w:r>
        <w:rPr>
          <w:i/>
          <w:iCs/>
        </w:rPr>
        <w:t xml:space="preserve">pneuma</w:t>
      </w:r>
      <w:r>
        <w:rPr/>
        <w:t xml:space="preserve"> can refer to both “spirit” or “breath,” but each word is a different metonymy that ultimately refers to the same thing—words. Scripture often uses the word “spirit” to refer to spiritual utterances, especially prophecy (see commentary on 1 Cor. 14:12). Christ pronounces destruction by the “breath” (or “spirit”) from his mouth, which is similiar to the picture given in Revelation where there is a sword coming out of Christ’s mouth (Rev.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FootnoteReference"/>
        </w:rPr>
        <w:footnoteReference w:id="27058"/>
      </w:r>
      <w:r>
        <w:rPr/>
        <w:t xml:space="preserve"> Wallace’s grammar refers to this as the </w:t>
      </w:r>
      <w:r>
        <w:rPr>
          <w:i/>
          <w:iCs/>
        </w:rPr>
        <w:t xml:space="preserve">futuristic present</w:t>
      </w:r>
      <w:r>
        <w:rPr/>
        <w:t xml:space="preserve">.</w:t>
      </w:r>
      <w:r>
        <w:rPr>
          <w:rStyle w:val="FootnoteReference"/>
        </w:rPr>
        <w:footnoteReference w:id="30186"/>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FootnoteReference"/>
        </w:rPr>
        <w:footnoteReference w:id="30015"/>
      </w:r>
      <w:r>
        <w:rPr/>
        <w:t xml:space="preserve"> For more information, see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“to </w:t>
      </w:r>
      <w:r>
        <w:rPr>
          <w:b/>
          <w:bCs/>
          <w:i/>
          <w:iCs/>
        </w:rPr>
        <w:t xml:space="preserve">deceive</w:t>
      </w:r>
      <w:r>
        <w:rPr>
          <w:b/>
          <w:bCs/>
        </w:rPr>
        <w:t xml:space="preserve"> those who are destroying themselves.”</w:t>
      </w:r>
      <w:r>
        <w:rPr/>
        <w:t xml:space="preserve"> The dative participle </w:t>
      </w:r>
      <w:r>
        <w:rPr>
          <w:i/>
          <w:iCs/>
        </w:rPr>
        <w:t xml:space="preserve">tois apollumenois</w:t>
      </w:r>
      <w:r>
        <w:rPr/>
        <w:t xml:space="preserve"> can also be translated as “for/toward those who are destroying themselves.” The Greek indicates that the action of the lawless one’s deception reaches and affects those who are destroying themselves.</w:t>
      </w:r>
    </w:p>
    <w:p>
      <w:pPr>
        <w:pStyle w:val="rNormal"/>
        <w:widowControl w:val="on"/>
        <w:spacing w:before="240" w:after="240" w:line="240" w:lineRule="auto"/>
        <w:ind w:left="0" w:right="0"/>
        <w:jc w:val="left"/>
      </w:pPr>
      <w:r>
        <w:rPr/>
        <w:t xml:space="preserve">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FootnoteReference"/>
        </w:rPr>
        <w:footnoteReference w:id="18772"/>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FootnoteReference"/>
        </w:rPr>
        <w:footnoteReference w:id="21945"/>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FootnoteReference"/>
        </w:rPr>
        <w:footnoteReference w:id="10598"/>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FootnoteReference"/>
        </w:rPr>
        <w:footnoteReference w:id="18384"/>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FootnoteReference"/>
        </w:rPr>
        <w:footnoteReference w:id="23037"/>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FootnoteReference"/>
        </w:rPr>
        <w:footnoteReference w:id="30734"/>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FootnoteReference"/>
        </w:rPr>
        <w:footnoteReference w:id="13513"/>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i/>
          <w:iCs/>
        </w:rPr>
        <w:t xml:space="preserve">En</w:t>
      </w:r>
      <w:r>
        <w:rPr/>
        <w:t xml:space="preserve"> does not mean “in view of” or “in the foreknowledge of.” It does not mean “unto,” the Greek for which would be </w:t>
      </w:r>
      <w:r>
        <w:rPr>
          <w:i/>
          <w:iCs/>
        </w:rPr>
        <w:t xml:space="preserve">eis</w:t>
      </w:r>
      <w:r>
        <w:rPr/>
        <w:t xml:space="preserve">. </w:t>
      </w:r>
      <w:r>
        <w:rPr>
          <w:i/>
          <w:iCs/>
        </w:rPr>
        <w:t xml:space="preserve">En</w:t>
      </w:r>
      <w:r>
        <w:rPr/>
        <w:t xml:space="preserve"> has its first and original meaning: in connection with…. None were chosen by God without this connection.”</w:t>
      </w:r>
      <w:r>
        <w:rPr>
          <w:rStyle w:val="FootnoteReference"/>
        </w:rPr>
        <w:footnoteReference w:id="20015"/>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w:t>
      </w:r>
      <w:r>
        <w:rPr>
          <w:b/>
          <w:bCs/>
          <w:i/>
          <w:iCs/>
        </w:rPr>
        <w:t xml:space="preserve">that comes</w:t>
      </w:r>
      <w:r>
        <w:rPr>
          <w:b/>
          <w:bCs/>
        </w:rPr>
        <w:t xml:space="preserve"> through holiness produced by the spirit.”</w:t>
      </w:r>
      <w:r>
        <w:rPr/>
        <w:t xml:space="preserve"> The Greek simply reads “in holiness of spirit” (</w:t>
      </w:r>
      <w:r>
        <w:rPr>
          <w:i/>
          <w:iCs/>
        </w:rPr>
        <w:t xml:space="preserve">en hagiasmō pneumatos</w:t>
      </w:r>
      <w:r>
        <w:rPr/>
        <w:t xml:space="preserve">, ἐν ἁγιασμῷ πνεύματος).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FootnoteReference"/>
        </w:rPr>
        <w:footnoteReference w:id="21308"/>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where it is to be understood as an objective genitive, which is where the word in the genitive case (“truth”) is the object of the head noun (“belief”). Thus, the meaning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FootnoteReference"/>
        </w:rPr>
        <w:footnoteReference w:id="22684"/>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FootnoteReference"/>
        </w:rPr>
        <w:footnoteReference w:id="32115"/>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“strengthen.”</w:t>
      </w:r>
      <w:r>
        <w:rPr/>
        <w:t xml:space="preserve"> The Greek word </w:t>
      </w:r>
      <w:r>
        <w:rPr>
          <w:i/>
          <w:iCs/>
        </w:rPr>
        <w:t xml:space="preserve">stērizō</w:t>
      </w:r>
      <w:r>
        <w:rPr/>
        <w:t xml:space="preserve"> (#4741 στηρίζω) means, “establish, make firm, or strengthen.” It refers to an internal strengthening which causes one to be committed and firmly in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it also did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28726"/>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concerning you </w:t>
      </w:r>
      <w:r>
        <w:rPr>
          <w:b/>
          <w:bCs/>
          <w:i/>
          <w:iCs/>
        </w:rPr>
        <w:t xml:space="preserve">who are</w:t>
      </w:r>
      <w:r>
        <w:rPr>
          <w:b/>
          <w:bCs/>
        </w:rPr>
        <w:t xml:space="preserve"> in the Lord.”</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FootnoteReference"/>
        </w:rPr>
        <w:footnoteReference w:id="22325"/>
      </w:r>
      <w:r>
        <w:rPr/>
        <w:t xml:space="preserve"> Paul is expressing his feelings of confidence toward the Thessalonians.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FootnoteReference"/>
        </w:rPr>
        <w:footnoteReference w:id="13871"/>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FootnoteReference"/>
        </w:rPr>
        <w:footnoteReference w:id="30697"/>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FootnoteReference"/>
        </w:rPr>
        <w:footnoteReference w:id="26226"/>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“instruction.”</w:t>
      </w:r>
      <w:r>
        <w:rPr/>
        <w:t xml:space="preserve"> The Greek word is </w:t>
      </w:r>
      <w:r>
        <w:rPr>
          <w:i/>
          <w:iCs/>
        </w:rPr>
        <w:t xml:space="preserve">logos</w:t>
      </w:r>
      <w:r>
        <w:rPr/>
        <w:t xml:space="preserve"> (lit. “word”) and is a collective singular to refer to all of Paul’s communication that he wrote in the letter.</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w:t>
      </w:r>
      <w:r>
        <w:rPr>
          <w:i/>
          <w:iCs/>
        </w:rPr>
        <w:t xml:space="preserve">Though</w:t>
      </w:r>
      <w:r>
        <w:rPr/>
        <w:t xml:space="preserve"> I have many things to write to you, I did not want to </w:t>
      </w:r>
      <w:r>
        <w:rPr>
          <w:i/>
          <w:iCs/>
        </w:rPr>
        <w:t xml:space="preserve">write them</w:t>
      </w:r>
      <w:r>
        <w:rPr/>
        <w:t xml:space="preserve"> with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FootnoteReference"/>
        </w:rPr>
        <w:footnoteReference w:id="22918"/>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of peace himself give….”</w:t>
      </w:r>
      <w:r>
        <w:rPr/>
        <w:t xml:space="preserve"> Lenski has the right emphasis: “Now may he, the Lord of peace, give you this peace….”</w:t>
      </w:r>
      <w:r>
        <w:rPr>
          <w:rStyle w:val="FootnoteReference"/>
        </w:rPr>
        <w:footnoteReference w:id="15274"/>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9047684eb84b6891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357962"/>
      <w:docPartObj>
        <w:docPartGallery w:val="Page Numbers (Bottom of Page)"/>
        <w:docPartUnique/>
      </w:docPartObj>
    </w:sdtPr>
    <w:sdtContent>
      <w:sdt>
        <w:sdtPr>
          <w:id w:val="2192744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166">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5661">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611.</w:t>
              </w:r>
            </w:t>
          </w:r>
        </w:t>
      </w:r>
    </w:p>
  </w:footnote>
  <w:footnote w:id="13499">
    <w:p>
      <w:pPr>
        <w:pStyle w:val="FootnoteText"/>
      </w:pPr>
      <w:r>
        <w:rPr>
          <w:rStyle w:val="FootnoteReference"/>
        </w:rPr>
        <w:footnoteRef/>
      </w:r>
      <w:r>
        <w:t xml:space="preserve">
          <w:r>
            <w:t xml:space="preserve">
              <w:r>
                <w:t xml:space="preserve"> Wallace, </w:t>
              </w:r>
              <w:r>
                <w:rPr>
                  <w:i/>
                </w:rPr>
                <w:t xml:space="preserve">Grammar</w:t>
              </w:r>
              <w:r>
                <w:t xml:space="preserve">, 607, 611.</w:t>
              </w:r>
            </w:t>
          </w:r>
        </w:t>
      </w:r>
    </w:p>
  </w:footnote>
  <w:footnote w:id="24364">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4:43; cf. BDAG.</w:t>
              </w:r>
            </w:t>
          </w:r>
        </w:t>
      </w:r>
    </w:p>
  </w:footnote>
  <w:footnote w:id="16655">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31616">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16757">
    <w:p>
      <w:pPr>
        <w:pStyle w:val="FootnoteText"/>
      </w:pPr>
      <w:r>
        <w:rPr>
          <w:rStyle w:val="FootnoteReference"/>
        </w:rPr>
        <w:footnoteRef/>
      </w:r>
      <w:r>
        <w:t xml:space="preserve">
          <w:r>
            <w:t xml:space="preserve">
              <w:r>
                <w:t xml:space="preserve"> See Wallace, </w:t>
              </w:r>
              <w:r>
                <w:rPr>
                  <w:i/>
                </w:rPr>
                <w:t xml:space="preserve">Grammar</w:t>
              </w:r>
              <w:r>
                <w:t xml:space="preserve">, 89.</w:t>
              </w:r>
            </w:t>
          </w:r>
        </w:t>
      </w:r>
    </w:p>
  </w:footnote>
  <w:footnote w:id="30958">
    <w:p>
      <w:pPr>
        <w:pStyle w:val="FootnoteText"/>
      </w:pPr>
      <w:r>
        <w:rPr>
          <w:rStyle w:val="FootnoteReference"/>
        </w:rPr>
        <w:footnoteRef/>
      </w:r>
      <w:r>
        <w:t xml:space="preserve">
          <w:r>
            <w:t xml:space="preserve">
              <w:r>
                <w:t xml:space="preserve"> BDAG, s.v. “θαυμάζω.”</w:t>
              </w:r>
            </w:t>
          </w:r>
        </w:t>
      </w:r>
    </w:p>
  </w:footnote>
  <w:footnote w:id="19778">
    <w:p>
      <w:pPr>
        <w:pStyle w:val="FootnoteText"/>
      </w:pPr>
      <w:r>
        <w:rPr>
          <w:rStyle w:val="FootnoteReference"/>
        </w:rPr>
        <w:footnoteRef/>
      </w:r>
      <w:r>
        <w:t xml:space="preserve">
          <w:r>
            <w:t xml:space="preserve">
              <w:r>
                <w:t xml:space="preserve"> Gordon Fee, </w:t>
              </w:r>
              <w:r>
                <w:rPr>
                  <w:i/>
                </w:rPr>
                <w:t xml:space="preserve">The First and Second Letters to the Thessalonians</w:t>
              </w:r>
              <w:r>
                <w:t xml:space="preserve"> [NICNT], 267-68 (emphasis original).</w:t>
              </w:r>
            </w:t>
          </w:r>
        </w:t>
      </w:r>
    </w:p>
  </w:footnote>
  <w:footnote w:id="24309">
    <w:p>
      <w:pPr>
        <w:pStyle w:val="FootnoteText"/>
      </w:pPr>
      <w:r>
        <w:rPr>
          <w:rStyle w:val="FootnoteReference"/>
        </w:rPr>
        <w:footnoteRef/>
      </w:r>
      <w:r>
        <w:t xml:space="preserve">
          <w:r>
            <w:t xml:space="preserve">
              <w:r>
                <w:t xml:space="preserve"> Cf. Leon L. Morris [NICNT], 214.</w:t>
              </w:r>
            </w:t>
          </w:r>
        </w:t>
      </w:r>
    </w:p>
  </w:footnote>
  <w:footnote w:id="28780">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0515">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2158">
    <w:p>
      <w:pPr>
        <w:pStyle w:val="FootnoteText"/>
      </w:pPr>
      <w:r>
        <w:rPr>
          <w:rStyle w:val="FootnoteReference"/>
        </w:rPr>
        <w:footnoteRef/>
      </w:r>
      <w:r>
        <w:t xml:space="preserve">
          <w:r>
            <w:t xml:space="preserve">
              <w:r>
                <w:t xml:space="preserve"> Bruce [WBC].</w:t>
              </w:r>
            </w:t>
          </w:r>
        </w:t>
      </w:r>
    </w:p>
  </w:footnote>
  <w:footnote w:id="17958">
    <w:p>
      <w:pPr>
        <w:pStyle w:val="FootnoteText"/>
      </w:pPr>
      <w:r>
        <w:rPr>
          <w:rStyle w:val="FootnoteReference"/>
        </w:rPr>
        <w:footnoteRef/>
      </w:r>
      <w:r>
        <w:t xml:space="preserve">
          <w:r>
            <w:t xml:space="preserve">
              <w:r>
                <w:t xml:space="preserve"> See </w:t>
              </w:r>
              <w:r>
                <w:rPr>
                  <w:i/>
                </w:rPr>
                <w:t xml:space="preserve">TDNT</w:t>
              </w:r>
              <w:r>
                <w:t xml:space="preserve">; cf. Friberg’s Lexicon.</w:t>
              </w:r>
            </w:t>
          </w:r>
        </w:t>
      </w:r>
    </w:p>
  </w:footnote>
  <w:footnote w:id="29785">
    <w:p>
      <w:pPr>
        <w:pStyle w:val="FootnoteText"/>
      </w:pPr>
      <w:r>
        <w:rPr>
          <w:rStyle w:val="FootnoteReference"/>
        </w:rPr>
        <w:footnoteRef/>
      </w:r>
      <w:r>
        <w:t xml:space="preserve">
          <w:r>
            <w:t xml:space="preserve">
              <w:r>
                <w:t xml:space="preserve"> Cf. BDAG; Bullinger;</w:t>
              </w:r>
              <w:r>
                <w:rPr>
                  <w:i/>
                </w:rPr>
                <w:t xml:space="preserve"> EDNT</w:t>
              </w:r>
              <w:r>
                <w:t xml:space="preserve">; Friberg; Louw and Nida; Renn; Thayer; UBS; Vine.</w:t>
              </w:r>
            </w:t>
          </w:r>
        </w:t>
      </w:r>
    </w:p>
  </w:footnote>
  <w:footnote w:id="12154">
    <w:p>
      <w:pPr>
        <w:pStyle w:val="FootnoteText"/>
      </w:pPr>
      <w:r>
        <w:rPr>
          <w:rStyle w:val="FootnoteReference"/>
        </w:rPr>
        <w:footnoteRef/>
      </w:r>
      <w:r>
        <w:t xml:space="preserve">
          <w:r>
            <w:t xml:space="preserve">
              <w:r>
                <w:t xml:space="preserve"> Cf. Wuest, </w:t>
              </w:r>
              <w:r>
                <w:rPr>
                  <w:i/>
                </w:rPr>
                <w:t xml:space="preserve">Word Studies</w:t>
              </w:r>
              <w:r>
                <w:t xml:space="preserve">.</w:t>
              </w:r>
            </w:t>
          </w:r>
        </w:t>
      </w:r>
    </w:p>
  </w:footnote>
  <w:footnote w:id="18446">
    <w:p>
      <w:pPr>
        <w:pStyle w:val="FootnoteText"/>
      </w:pPr>
      <w:r>
        <w:rPr>
          <w:rStyle w:val="FootnoteReference"/>
        </w:rPr>
        <w:footnoteRef/>
      </w:r>
      <w:r>
        <w:t xml:space="preserve">
          <w:r>
            <w:t xml:space="preserve">
              <w:r>
                <w:t xml:space="preserve"> Cf. Ernest Best, </w:t>
              </w:r>
              <w:r>
                <w:rPr>
                  <w:i/>
                </w:rPr>
                <w:t xml:space="preserve">First and Second Epistles to the Thessalonians</w:t>
              </w:r>
              <w:r>
                <w:t xml:space="preserve"> [BNTC].</w:t>
              </w:r>
            </w:t>
          </w:r>
        </w:t>
      </w:r>
    </w:p>
  </w:footnote>
  <w:footnote w:id="32697">
    <w:p>
      <w:pPr>
        <w:pStyle w:val="FootnoteText"/>
      </w:pPr>
      <w:r>
        <w:rPr>
          <w:rStyle w:val="FootnoteReference"/>
        </w:rPr>
        <w:footnoteRef/>
      </w:r>
      <w:r>
        <w:t xml:space="preserve">
          <w:r>
            <w:t xml:space="preserve">
              <w:r>
                <w:t xml:space="preserve"> Lenski, </w:t>
              </w:r>
              <w:r>
                <w:rPr>
                  <w:i/>
                </w:rPr>
                <w:t xml:space="preserve">Interpretation of St. Paul’s Epistles to the Colossians and Thessalonians</w:t>
              </w:r>
              <w:r>
                <w:t xml:space="preserve">, 411-12.</w:t>
              </w:r>
            </w:t>
          </w:r>
        </w:t>
      </w:r>
    </w:p>
  </w:footnote>
  <w:footnote w:id="30949">
    <w:p>
      <w:pPr>
        <w:pStyle w:val="FootnoteText"/>
      </w:pPr>
      <w:r>
        <w:rPr>
          <w:rStyle w:val="FootnoteReference"/>
        </w:rPr>
        <w:footnoteRef/>
      </w:r>
      <w:r>
        <w:t xml:space="preserve">
          <w:r>
            <w:t xml:space="preserve">
              <w:r>
                <w:t xml:space="preserve"> Bullinger, </w:t>
              </w:r>
              <w:r>
                <w:rPr>
                  <w:i/>
                </w:rPr>
                <w:t xml:space="preserve">Figures of Speech</w:t>
              </w:r>
              <w:r>
                <w:t xml:space="preserve">, 943, “erotesis.”</w:t>
              </w:r>
            </w:t>
          </w:r>
        </w:t>
      </w:r>
    </w:p>
  </w:footnote>
  <w:footnote w:id="31729">
    <w:p>
      <w:pPr>
        <w:pStyle w:val="FootnoteText"/>
      </w:pPr>
      <w:r>
        <w:rPr>
          <w:rStyle w:val="FootnoteReference"/>
        </w:rPr>
        <w:footnoteRef/>
      </w:r>
      <w:r>
        <w:t xml:space="preserve">
          <w:r>
            <w:t xml:space="preserve">
              <w:r>
                <w:t xml:space="preserve"> e.g. Lenski, Colossians and Thessalonians, 416; Kistemaker.</w:t>
              </w:r>
            </w:t>
          </w:r>
        </w:t>
      </w:r>
    </w:p>
  </w:footnote>
  <w:footnote w:id="12501">
    <w:p>
      <w:pPr>
        <w:pStyle w:val="FootnoteText"/>
      </w:pPr>
      <w:r>
        <w:rPr>
          <w:rStyle w:val="FootnoteReference"/>
        </w:rPr>
        <w:footnoteRef/>
      </w:r>
      <w:r>
        <w:t xml:space="preserve">
          <w:r>
            <w:t xml:space="preserve">
              <w:r>
                <w:t xml:space="preserve"> Charles A. Wanamaker, </w:t>
              </w:r>
              <w:r>
                <w:rPr>
                  <w:i/>
                </w:rPr>
                <w:t xml:space="preserve">The Epistles to the Thessalonians</w:t>
              </w:r>
              <w:r>
                <w:t xml:space="preserve"> [NIGTC], 256.</w:t>
              </w:r>
            </w:t>
          </w:r>
        </w:t>
      </w:r>
    </w:p>
  </w:footnote>
  <w:footnote w:id="27058">
    <w:p>
      <w:pPr>
        <w:pStyle w:val="FootnoteText"/>
      </w:pPr>
      <w:r>
        <w:rPr>
          <w:rStyle w:val="FootnoteReference"/>
        </w:rPr>
        <w:footnoteRef/>
      </w:r>
      <w:r>
        <w:t xml:space="preserve">
          <w:r>
            <w:t xml:space="preserve">
              <w:r>
                <w:t xml:space="preserve"> Kistemaker.</w:t>
              </w:r>
            </w:t>
          </w:r>
        </w:t>
      </w:r>
    </w:p>
  </w:footnote>
  <w:footnote w:id="30186">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30015">
    <w:p>
      <w:pPr>
        <w:pStyle w:val="FootnoteText"/>
      </w:pPr>
      <w:r>
        <w:rPr>
          <w:rStyle w:val="FootnoteReference"/>
        </w:rPr>
        <w:footnoteRef/>
      </w:r>
      <w:r>
        <w:t xml:space="preserve">
          <w:r>
            <w:t xml:space="preserve">
              <w:r>
                <w:t xml:space="preserve"> Wallace, </w:t>
              </w:r>
              <w:r>
                <w:rPr>
                  <w:i/>
                </w:rPr>
                <w:t xml:space="preserve">Greek Grammar</w:t>
              </w:r>
              <w:r>
                <w:t xml:space="preserve">, 536.</w:t>
              </w:r>
            </w:t>
          </w:r>
        </w:t>
      </w:r>
    </w:p>
  </w:footnote>
  <w:footnote w:id="18772">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21945">
    <w:p>
      <w:pPr>
        <w:pStyle w:val="FootnoteText"/>
      </w:pPr>
      <w:r>
        <w:rPr>
          <w:rStyle w:val="FootnoteReference"/>
        </w:rPr>
        <w:footnoteRef/>
      </w:r>
      <w:r>
        <w:t xml:space="preserve">
          <w:r>
            <w:t xml:space="preserve">
              <w:r>
                <w:t xml:space="preserve"> For the </w:t>
              </w:r>
              <w:r>
                <w:rPr>
                  <w:i/>
                </w:rPr>
                <w:t xml:space="preserve">eis to</w:t>
              </w:r>
              <w:r>
                <w:t xml:space="preserve"> with an infinitive construction and result clauses, see Wallace, </w:t>
              </w:r>
              <w:r>
                <w:rPr>
                  <w:i/>
                </w:rPr>
                <w:t xml:space="preserve">Greek Grammar</w:t>
              </w:r>
              <w:r>
                <w:t xml:space="preserve">, 592-93, 611.</w:t>
              </w:r>
            </w:t>
          </w:r>
        </w:t>
      </w:r>
    </w:p>
  </w:footnote>
  <w:footnote w:id="10598">
    <w:p>
      <w:pPr>
        <w:pStyle w:val="FootnoteText"/>
      </w:pPr>
      <w:r>
        <w:rPr>
          <w:rStyle w:val="FootnoteReference"/>
        </w:rPr>
        <w:footnoteRef/>
      </w:r>
      <w:r>
        <w:t xml:space="preserve">
          <w:r>
            <w:t xml:space="preserve">
              <w:r>
                <w:t xml:space="preserve"> Lenski, </w:t>
              </w:r>
              <w:r>
                <w:rPr>
                  <w:i/>
                </w:rPr>
                <w:t xml:space="preserve">Colossians and Thessalonians</w:t>
              </w:r>
              <w:r>
                <w:t xml:space="preserve">, 431.</w:t>
              </w:r>
            </w:t>
          </w:r>
        </w:t>
      </w:r>
    </w:p>
  </w:footnote>
  <w:footnote w:id="18384">
    <w:p>
      <w:pPr>
        <w:pStyle w:val="FootnoteText"/>
      </w:pPr>
      <w:r>
        <w:rPr>
          <w:rStyle w:val="FootnoteReference"/>
        </w:rPr>
        <w:footnoteRef/>
      </w:r>
      <w:r>
        <w:t xml:space="preserve">
          <w:r>
            <w:t xml:space="preserve">
              <w:r>
                <w:t xml:space="preserve"> for the </w:t>
              </w:r>
              <w:r>
                <w:rPr>
                  <w:i/>
                </w:rPr>
                <w:t xml:space="preserve">eis to</w:t>
              </w:r>
              <w:r>
                <w:t xml:space="preserve"> + infinitive construction and result clauses, see Wallace, </w:t>
              </w:r>
              <w:r>
                <w:rPr>
                  <w:i/>
                </w:rPr>
                <w:t xml:space="preserve">Greek Grammar</w:t>
              </w:r>
              <w:r>
                <w:t xml:space="preserve">,592-93, 611.</w:t>
              </w:r>
            </w:t>
          </w:r>
        </w:t>
      </w:r>
    </w:p>
  </w:footnote>
  <w:footnote w:id="23037">
    <w:p>
      <w:pPr>
        <w:pStyle w:val="FootnoteText"/>
      </w:pPr>
      <w:r>
        <w:rPr>
          <w:rStyle w:val="FootnoteReference"/>
        </w:rPr>
        <w:footnoteRef/>
      </w:r>
      <w:r>
        <w:t xml:space="preserve">
          <w:r>
            <w:t xml:space="preserve">
              <w:r>
                <w:t xml:space="preserve"> BDAG, s.v. “κρίνω.”</w:t>
              </w:r>
            </w:t>
          </w:r>
        </w:t>
      </w:r>
    </w:p>
  </w:footnote>
  <w:footnote w:id="30734">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t>
          </w:r>
        </w:t>
      </w:r>
    </w:p>
  </w:footnote>
  <w:footnote w:id="13513">
    <w:p>
      <w:pPr>
        <w:pStyle w:val="FootnoteText"/>
      </w:pPr>
      <w:r>
        <w:rPr>
          <w:rStyle w:val="FootnoteReference"/>
        </w:rPr>
        <w:footnoteRef/>
      </w:r>
      <w:r>
        <w:t xml:space="preserve">
          <w:r>
            <w:t xml:space="preserve">
              <w:r>
                <w:t xml:space="preserve"> BDAG, s.v. “ἐν.”</w:t>
              </w:r>
            </w:t>
          </w:r>
        </w:t>
      </w:r>
    </w:p>
  </w:footnote>
  <w:footnote w:id="20015">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441.</w:t>
              </w:r>
            </w:t>
          </w:r>
        </w:t>
      </w:r>
    </w:p>
  </w:footnote>
  <w:footnote w:id="21308">
    <w:p>
      <w:pPr>
        <w:pStyle w:val="FootnoteText"/>
      </w:pPr>
      <w:r>
        <w:rPr>
          <w:rStyle w:val="FootnoteReference"/>
        </w:rPr>
        <w:footnoteRef/>
      </w:r>
      <w:r>
        <w:t xml:space="preserve">
          <w:r>
            <w:t xml:space="preserve">
              <w:r>
                <w:t xml:space="preserve"> Cf. Lenski, </w:t>
              </w:r>
              <w:r>
                <w:rPr>
                  <w:i/>
                </w:rPr>
                <w:t xml:space="preserve">Colossians and Thessalonians</w:t>
              </w:r>
              <w:r>
                <w:t xml:space="preserve">, 440.</w:t>
              </w:r>
            </w:t>
          </w:r>
        </w:t>
      </w:r>
    </w:p>
  </w:footnote>
  <w:footnote w:id="22684">
    <w:p>
      <w:pPr>
        <w:pStyle w:val="FootnoteText"/>
      </w:pPr>
      <w:r>
        <w:rPr>
          <w:rStyle w:val="FootnoteReference"/>
        </w:rPr>
        <w:footnoteRef/>
      </w:r>
      <w:r>
        <w:t xml:space="preserve">
          <w:r>
            <w:t xml:space="preserve">
              <w:r>
                <w:t xml:space="preserve"> BDAG, s.v. “εἰς,” def. 4f.</w:t>
              </w:r>
            </w:t>
          </w:r>
        </w:t>
      </w:r>
    </w:p>
  </w:footnote>
  <w:footnote w:id="32115">
    <w:p>
      <w:pPr>
        <w:pStyle w:val="FootnoteText"/>
      </w:pPr>
      <w:r>
        <w:rPr>
          <w:rStyle w:val="FootnoteReference"/>
        </w:rPr>
        <w:footnoteRef/>
      </w:r>
      <w:r>
        <w:t xml:space="preserve">
          <w:r>
            <w:t xml:space="preserve">
              <w:r>
                <w:t xml:space="preserve"> Cf. Lenski, </w:t>
              </w:r>
              <w:r>
                <w:rPr>
                  <w:i/>
                </w:rPr>
                <w:t xml:space="preserve">Colossians and Thessalonians</w:t>
              </w:r>
              <w:r>
                <w:t xml:space="preserve">, 443-44.</w:t>
              </w:r>
            </w:t>
          </w:r>
        </w:t>
      </w:r>
    </w:p>
  </w:footnote>
  <w:footnote w:id="28726">
    <w:p>
      <w:pPr>
        <w:pStyle w:val="FootnoteText"/>
      </w:pPr>
      <w:r>
        <w:rPr>
          <w:rStyle w:val="FootnoteReference"/>
        </w:rPr>
        <w:footnoteRef/>
      </w:r>
      <w:r>
        <w:t xml:space="preserve">
          <w:r>
            <w:t xml:space="preserve">
              <w:r>
                <w:t xml:space="preserve"> BDAG, s.v. “πονηρός.”</w:t>
              </w:r>
            </w:t>
          </w:r>
        </w:t>
      </w:r>
    </w:p>
  </w:footnote>
  <w:footnote w:id="22325">
    <w:p>
      <w:pPr>
        <w:pStyle w:val="FootnoteText"/>
      </w:pPr>
      <w:r>
        <w:rPr>
          <w:rStyle w:val="FootnoteReference"/>
        </w:rPr>
        <w:footnoteRef/>
      </w:r>
      <w:r>
        <w:t xml:space="preserve">
          <w:r>
            <w:t xml:space="preserve">
              <w:r>
                <w:t xml:space="preserve"> BDAG, s.v. “ἐπί,” def. 15.</w:t>
              </w:r>
            </w:t>
          </w:r>
        </w:t>
      </w:r>
    </w:p>
  </w:footnote>
  <w:footnote w:id="13871">
    <w:p>
      <w:pPr>
        <w:pStyle w:val="FootnoteText"/>
      </w:pPr>
      <w:r>
        <w:rPr>
          <w:rStyle w:val="FootnoteReference"/>
        </w:rPr>
        <w:footnoteRef/>
      </w:r>
      <w:r>
        <w:t xml:space="preserve">
          <w:r>
            <w:t xml:space="preserve">
              <w:r>
                <w:t xml:space="preserve"> BDAG, s.v. “ἀτάκτως.”</w:t>
              </w:r>
            </w:t>
          </w:r>
        </w:t>
      </w:r>
    </w:p>
  </w:footnote>
  <w:footnote w:id="30697">
    <w:p>
      <w:pPr>
        <w:pStyle w:val="FootnoteText"/>
      </w:pPr>
      <w:r>
        <w:rPr>
          <w:rStyle w:val="FootnoteReference"/>
        </w:rPr>
        <w:footnoteRef/>
      </w:r>
      <w:r>
        <w:t xml:space="preserve">
          <w:r>
            <w:t xml:space="preserve">
              <w:r>
                <w:t xml:space="preserve"> Lenski, </w:t>
              </w:r>
              <w:r>
                <w:rPr>
                  <w:i/>
                </w:rPr>
                <w:t xml:space="preserve">Colossians and Thessalonians</w:t>
              </w:r>
              <w:r>
                <w:t xml:space="preserve">, 461.</w:t>
              </w:r>
            </w:t>
          </w:r>
        </w:t>
      </w:r>
    </w:p>
  </w:footnote>
  <w:footnote w:id="26226">
    <w:p>
      <w:pPr>
        <w:pStyle w:val="FootnoteText"/>
      </w:pPr>
      <w:r>
        <w:rPr>
          <w:rStyle w:val="FootnoteReference"/>
        </w:rPr>
        <w:footnoteRef/>
      </w:r>
      <w:r>
        <w:t xml:space="preserve">
          <w:r>
            <w:t xml:space="preserve">
              <w:r>
                <w:t xml:space="preserve"> Bullinger, </w:t>
              </w:r>
              <w:r>
                <w:rPr>
                  <w:i/>
                </w:rPr>
                <w:t xml:space="preserve">Figures of Speech</w:t>
              </w:r>
              <w:r>
                <w:t xml:space="preserve">, 304, “paregmenon.”</w:t>
              </w:r>
            </w:t>
          </w:r>
        </w:t>
      </w:r>
    </w:p>
  </w:footnote>
  <w:footnote w:id="22918">
    <w:p>
      <w:pPr>
        <w:pStyle w:val="FootnoteText"/>
      </w:pPr>
      <w:r>
        <w:rPr>
          <w:rStyle w:val="FootnoteReference"/>
        </w:rPr>
        <w:footnoteRef/>
      </w:r>
      <w:r>
        <w:t xml:space="preserve">
          <w:r>
            <w:t xml:space="preserve">
              <w:r>
                <w:t xml:space="preserve"> BDAG, s.v. “διά,” def. 2a.</w:t>
              </w:r>
            </w:t>
          </w:r>
        </w:t>
      </w:r>
    </w:p>
  </w:footnote>
  <w:footnote w:id="15274">
    <w:p>
      <w:pPr>
        <w:pStyle w:val="FootnoteText"/>
      </w:pPr>
      <w:r>
        <w:rPr>
          <w:rStyle w:val="FootnoteReference"/>
        </w:rPr>
        <w:footnoteRef/>
      </w:r>
      <w:r>
        <w:t xml:space="preserve">
          <w:r>
            <w:t xml:space="preserve">
              <w:r>
                <w:t xml:space="preserve"> R. C. H. Lenski, </w:t>
              </w:r>
              <w:r>
                <w:rPr>
                  <w:i/>
                </w:rPr>
                <w:t xml:space="preserve">The Interpretation of St. Paul’s Epistles to the Colossians, to the Thessalonians, to Timothy, to Titus and to Philemon</w:t>
              </w:r>
              <w:r>
                <w:t xml:space="preserve">, 469.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024330">
    <w:multiLevelType w:val="hybridMultilevel"/>
    <w:lvl w:ilvl="0" w:tplc="39925968">
      <w:start w:val="1"/>
      <w:numFmt w:val="decimal"/>
      <w:lvlText w:val="%1."/>
      <w:lvlJc w:val="left"/>
      <w:pPr>
        <w:ind w:left="720" w:hanging="360"/>
      </w:pPr>
    </w:lvl>
    <w:lvl w:ilvl="1" w:tplc="39925968" w:tentative="1">
      <w:start w:val="1"/>
      <w:numFmt w:val="lowerLetter"/>
      <w:lvlText w:val="%2."/>
      <w:lvlJc w:val="left"/>
      <w:pPr>
        <w:ind w:left="1440" w:hanging="360"/>
      </w:pPr>
    </w:lvl>
    <w:lvl w:ilvl="2" w:tplc="39925968" w:tentative="1">
      <w:start w:val="1"/>
      <w:numFmt w:val="lowerRoman"/>
      <w:lvlText w:val="%3."/>
      <w:lvlJc w:val="right"/>
      <w:pPr>
        <w:ind w:left="2160" w:hanging="180"/>
      </w:pPr>
    </w:lvl>
    <w:lvl w:ilvl="3" w:tplc="39925968" w:tentative="1">
      <w:start w:val="1"/>
      <w:numFmt w:val="decimal"/>
      <w:lvlText w:val="%4."/>
      <w:lvlJc w:val="left"/>
      <w:pPr>
        <w:ind w:left="2880" w:hanging="360"/>
      </w:pPr>
    </w:lvl>
    <w:lvl w:ilvl="4" w:tplc="39925968" w:tentative="1">
      <w:start w:val="1"/>
      <w:numFmt w:val="lowerLetter"/>
      <w:lvlText w:val="%5."/>
      <w:lvlJc w:val="left"/>
      <w:pPr>
        <w:ind w:left="3600" w:hanging="360"/>
      </w:pPr>
    </w:lvl>
    <w:lvl w:ilvl="5" w:tplc="39925968" w:tentative="1">
      <w:start w:val="1"/>
      <w:numFmt w:val="lowerRoman"/>
      <w:lvlText w:val="%6."/>
      <w:lvlJc w:val="right"/>
      <w:pPr>
        <w:ind w:left="4320" w:hanging="180"/>
      </w:pPr>
    </w:lvl>
    <w:lvl w:ilvl="6" w:tplc="39925968" w:tentative="1">
      <w:start w:val="1"/>
      <w:numFmt w:val="decimal"/>
      <w:lvlText w:val="%7."/>
      <w:lvlJc w:val="left"/>
      <w:pPr>
        <w:ind w:left="5040" w:hanging="360"/>
      </w:pPr>
    </w:lvl>
    <w:lvl w:ilvl="7" w:tplc="39925968" w:tentative="1">
      <w:start w:val="1"/>
      <w:numFmt w:val="lowerLetter"/>
      <w:lvlText w:val="%8."/>
      <w:lvlJc w:val="left"/>
      <w:pPr>
        <w:ind w:left="5760" w:hanging="360"/>
      </w:pPr>
    </w:lvl>
    <w:lvl w:ilvl="8" w:tplc="39925968" w:tentative="1">
      <w:start w:val="1"/>
      <w:numFmt w:val="lowerRoman"/>
      <w:lvlText w:val="%9."/>
      <w:lvlJc w:val="right"/>
      <w:pPr>
        <w:ind w:left="6480" w:hanging="180"/>
      </w:pPr>
    </w:lvl>
  </w:abstractNum>
  <w:abstractNum w:abstractNumId="25401">
    <w:multiLevelType w:val="hybridMultilevel"/>
    <w:lvl w:ilvl="0" w:tplc="646716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401">
    <w:abstractNumId w:val="25401"/>
  </w:num>
  <w:num w:numId="26024330">
    <w:abstractNumId w:val="260243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9809333" Type="http://schemas.openxmlformats.org/officeDocument/2006/relationships/numbering" Target="numbering.xml"/><Relationship Id="rId152338804" Type="http://schemas.openxmlformats.org/officeDocument/2006/relationships/comments" Target="comments.xml"/><Relationship Id="rId9047684eb84b6891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