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0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That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the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FootnoteReference"/>
        </w:rPr>
        <w:footnoteReference w:id="31174"/>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FootnoteReference"/>
        </w:rPr>
        <w:footnoteReference w:id="27971"/>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FootnoteReference"/>
        </w:rPr>
        <w:footnoteReference w:id="12607"/>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FootnoteReference"/>
        </w:rPr>
        <w:footnoteReference w:id="31642"/>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FootnoteReference"/>
        </w:rPr>
        <w:footnoteReference w:id="32110"/>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Charles B.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3684"/>
        </w:numPr>
        <w:spacing w:before="0" w:after="0" w:line="240" w:lineRule="auto"/>
        <w:rPr/>
      </w:pPr>
      <w:r>
        <w:rPr>
          <w:b/>
          <w:bCs/>
        </w:rPr>
        <w:t xml:space="preserve">Luke 1:78 (KJV)</w:t>
      </w:r>
      <w:r>
        <w:rPr/>
        <w:t xml:space="preserve"> “Through the tender mercy [bowels] of our God;”</w:t>
      </w:r>
    </w:p>
    <w:p>
      <w:pPr>
        <w:numPr>
          <w:ilvl w:val="0"/>
          <w:numId w:val="3684"/>
        </w:numPr>
        <w:spacing w:before="0" w:after="0" w:line="240" w:lineRule="auto"/>
        <w:rPr/>
      </w:pPr>
      <w:r>
        <w:rPr>
          <w:b/>
          <w:bCs/>
        </w:rPr>
        <w:t xml:space="preserve">2 Corinthians 6:12 (NASB)</w:t>
      </w:r>
      <w:r>
        <w:rPr/>
        <w:t xml:space="preserve"> “you are restrained in your own affections [bowels].”</w:t>
      </w:r>
    </w:p>
    <w:p>
      <w:pPr>
        <w:numPr>
          <w:ilvl w:val="0"/>
          <w:numId w:val="3684"/>
        </w:numPr>
        <w:spacing w:before="0" w:after="0" w:line="240" w:lineRule="auto"/>
        <w:rPr/>
      </w:pPr>
      <w:r>
        <w:rPr>
          <w:b/>
          <w:bCs/>
        </w:rPr>
        <w:t xml:space="preserve">2 Corinthians 7:15 (NASB)</w:t>
      </w:r>
      <w:r>
        <w:rPr/>
        <w:t xml:space="preserve"> “his affection [bowels] abounds all the more toward you….”</w:t>
      </w:r>
    </w:p>
    <w:p>
      <w:pPr>
        <w:numPr>
          <w:ilvl w:val="0"/>
          <w:numId w:val="3684"/>
        </w:numPr>
        <w:spacing w:before="0" w:after="0" w:line="240" w:lineRule="auto"/>
        <w:rPr/>
      </w:pPr>
      <w:r>
        <w:rPr>
          <w:b/>
          <w:bCs/>
        </w:rPr>
        <w:t xml:space="preserve">Philippians 1:8(NASB)</w:t>
      </w:r>
      <w:r>
        <w:rPr/>
        <w:t xml:space="preserve"> “I long for you all with the affection [bowels] of Christ Jesus.”</w:t>
      </w:r>
    </w:p>
    <w:p>
      <w:pPr>
        <w:numPr>
          <w:ilvl w:val="0"/>
          <w:numId w:val="3684"/>
        </w:numPr>
        <w:spacing w:before="0" w:after="0" w:line="240" w:lineRule="auto"/>
        <w:rPr/>
      </w:pPr>
      <w:r>
        <w:rPr>
          <w:b/>
          <w:bCs/>
        </w:rPr>
        <w:t xml:space="preserve">Philippians 2:1 (NASB)</w:t>
      </w:r>
      <w:r>
        <w:rPr/>
        <w:t xml:space="preserve"> “If therefore there is any…affection [bowels] and compassion,”</w:t>
      </w:r>
    </w:p>
    <w:p>
      <w:pPr>
        <w:numPr>
          <w:ilvl w:val="0"/>
          <w:numId w:val="3684"/>
        </w:numPr>
        <w:spacing w:before="0" w:after="0" w:line="240" w:lineRule="auto"/>
        <w:rPr/>
      </w:pPr>
      <w:r>
        <w:rPr>
          <w:b/>
          <w:bCs/>
        </w:rPr>
        <w:t xml:space="preserve">Colossians 3:12 (NASB)</w:t>
      </w:r>
      <w:r>
        <w:rPr/>
        <w:t xml:space="preserve"> “put on a heart of compassion [literally: “put on bowels”]”</w:t>
      </w:r>
    </w:p>
    <w:p>
      <w:pPr>
        <w:numPr>
          <w:ilvl w:val="0"/>
          <w:numId w:val="3684"/>
        </w:numPr>
        <w:spacing w:before="0" w:after="0" w:line="240" w:lineRule="auto"/>
        <w:rPr/>
      </w:pPr>
      <w:r>
        <w:rPr>
          <w:b/>
          <w:bCs/>
        </w:rPr>
        <w:t xml:space="preserve">Philemon 1:7 (NASB)</w:t>
      </w:r>
      <w:r>
        <w:rPr/>
        <w:t xml:space="preserve"> “the hearts[bowels] of the saints have been refreshed”</w:t>
      </w:r>
    </w:p>
    <w:p>
      <w:pPr>
        <w:numPr>
          <w:ilvl w:val="0"/>
          <w:numId w:val="3684"/>
        </w:numPr>
        <w:spacing w:before="0" w:after="0" w:line="240" w:lineRule="auto"/>
        <w:rPr/>
      </w:pPr>
      <w:r>
        <w:rPr>
          <w:b/>
          <w:bCs/>
        </w:rPr>
        <w:t xml:space="preserve">Philemon 1:12 (NASB)</w:t>
      </w:r>
      <w:r>
        <w:rPr/>
        <w:t xml:space="preserve"> “And I have sent him…my very heart [bowels]”</w:t>
      </w:r>
    </w:p>
    <w:p>
      <w:pPr>
        <w:numPr>
          <w:ilvl w:val="0"/>
          <w:numId w:val="3684"/>
        </w:numPr>
        <w:spacing w:before="0" w:after="0" w:line="240" w:lineRule="auto"/>
        <w:rPr/>
      </w:pPr>
      <w:r>
        <w:rPr>
          <w:b/>
          <w:bCs/>
        </w:rPr>
        <w:t xml:space="preserve">Philemon 1:20 (NASB)</w:t>
      </w:r>
      <w:r>
        <w:rPr/>
        <w:t xml:space="preserve"> “refresh my heart [bowels] in Christ.”</w:t>
      </w:r>
    </w:p>
    <w:p>
      <w:pPr>
        <w:numPr>
          <w:ilvl w:val="0"/>
          <w:numId w:val="3684"/>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w:t>
      </w:r>
      <w:r>
        <w:rPr>
          <w:i/>
          <w:iCs/>
        </w:rPr>
        <w:t xml:space="preserve">and</w:t>
      </w:r>
      <w:r>
        <w:rPr/>
        <w:t xml:space="preserve"> hold on firmly to what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FootnoteReference"/>
        </w:rPr>
        <w:footnoteReference w:id="17285"/>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FootnoteReference"/>
        </w:rPr>
        <w:footnoteReference w:id="24656"/>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promoting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were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FootnoteReference"/>
        </w:rPr>
        <w:footnoteReference w:id="24240"/>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FootnoteReference"/>
        </w:rPr>
        <w:footnoteReference w:id="30198"/>
      </w:r>
      <w:r>
        <w:rPr/>
        <w:t xml:space="preserve"> The dative of feeling is also how Daniel Wallace classifies the same dative just two verses later, in Philippians 1:21, which could well be translated as “As far as I am concerned, to live is Christ and to die is gain.”</w:t>
      </w:r>
      <w:r>
        <w:rPr>
          <w:rStyle w:val="FootnoteReference"/>
        </w:rPr>
        <w:footnoteReference w:id="15953"/>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FootnoteReference"/>
        </w:rPr>
        <w:footnoteReference w:id="30013"/>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FootnoteReference"/>
        </w:rPr>
        <w:footnoteReference w:id="30909"/>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FootnoteReference"/>
        </w:rPr>
        <w:footnoteReference w:id="28781"/>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FootnoteReference"/>
        </w:rPr>
        <w:footnoteReference w:id="10491"/>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I continue to live in the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FootnoteReference"/>
        </w:rPr>
        <w:footnoteReference w:id="30334"/>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FootnoteReference"/>
        </w:rPr>
        <w:footnoteReference w:id="20704"/>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FootnoteReference"/>
        </w:rPr>
        <w:footnoteReference w:id="29523"/>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prophetic—it points to the future destruction of the wicked but salvation of the believers. The difficult part about the verse is that we might be tempted to read it as if the adversaries “saw,” i.e., understood, the sign. It is “to”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FootnoteReference"/>
        </w:rPr>
        <w:footnoteReference w:id="17421"/>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FootnoteReference"/>
        </w:rPr>
        <w:footnoteReference w:id="19079"/>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FootnoteReference"/>
        </w:rPr>
        <w:footnoteReference w:id="21912"/>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FootnoteReference"/>
        </w:rPr>
        <w:footnoteReference w:id="14285"/>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and Colossians 2:20.</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or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FootnoteReference"/>
        </w:rPr>
        <w:footnoteReference w:id="10749"/>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commonly used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FootnoteReference"/>
        </w:rPr>
        <w:footnoteReference w:id="11644"/>
      </w:r>
      <w:r>
        <w:rPr/>
        <w:t xml:space="preserve"> This word is united with the last phrase of the verse as one concept, not as many have, two distinct concepts.</w:t>
      </w:r>
      <w:r>
        <w:rPr>
          <w:rStyle w:val="FootnoteReference"/>
        </w:rPr>
        <w:footnoteReference w:id="22245"/>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FootnoteReference"/>
        </w:rPr>
        <w:footnoteReference w:id="28716"/>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of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“others.”</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as more important than yourselves.”</w:t>
      </w:r>
      <w:r>
        <w:rPr/>
        <w:t xml:space="preserve"> We need to understand what this verse is saying. Two common ways that English Bibles translate the verse are to think of others as “more important” than yourselves (CSB, NASB, NET),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teach that “others come first.” This comes up elsewhere in the New Testament (e.g., Eph. 5:21; 1 Pet. 5:5).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NIV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FootnoteReference"/>
        </w:rPr>
        <w:footnoteReference w:id="25230"/>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FootnoteReference"/>
        </w:rPr>
        <w:footnoteReference w:id="19801"/>
      </w:r>
      <w:r>
        <w:rPr/>
        <w:t xml:space="preserve"> The scholarly lexicon by Walter Bauer, translated and revised by Arndt and Gingrich, has under </w:t>
      </w:r>
      <w:r>
        <w:rPr>
          <w:i/>
          <w:iCs/>
        </w:rPr>
        <w:t xml:space="preserve">morphē</w:t>
      </w:r>
      <w:r>
        <w:rPr/>
        <w:t xml:space="preserve">, “form, outward appearance, shape.”</w:t>
      </w:r>
      <w:r>
        <w:rPr>
          <w:rStyle w:val="FootnoteReference"/>
        </w:rPr>
        <w:footnoteReference w:id="17978"/>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FootnoteReference"/>
        </w:rPr>
        <w:footnoteReference w:id="22516"/>
      </w:r>
      <w:r>
        <w:rPr/>
        <w:t xml:space="preserve"> Robert Thayer, in his well-respected lexicon, has under </w:t>
      </w:r>
      <w:r>
        <w:rPr>
          <w:i/>
          <w:iCs/>
        </w:rPr>
        <w:t xml:space="preserve">morphē</w:t>
      </w:r>
      <w:r>
        <w:rPr/>
        <w:t xml:space="preserve">, “the form by which a person or thing strikes the vision; the external appearance.”</w:t>
      </w:r>
      <w:r>
        <w:rPr>
          <w:rStyle w:val="FootnoteReference"/>
        </w:rPr>
        <w:footnoteReference w:id="25515"/>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FootnoteReference"/>
        </w:rPr>
        <w:footnoteReference w:id="22392"/>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NASB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i.e.,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“did not consider equality with God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FootnoteReference"/>
        </w:rPr>
        <w:footnoteReference w:id="13938"/>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FootnoteReference"/>
        </w:rPr>
        <w:footnoteReference w:id="13126"/>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FootnoteReference"/>
        </w:rPr>
        <w:footnoteReference w:id="16913"/>
      </w:r>
      <w:r>
        <w:rPr/>
        <w:t xml:space="preserve"> Additionally, the verb with essentially the same root, </w:t>
      </w:r>
      <w:r>
        <w:rPr>
          <w:i/>
          <w:iCs/>
        </w:rPr>
        <w:t xml:space="preserve">harpagē</w:t>
      </w:r>
      <w:r>
        <w:rPr/>
        <w:t xml:space="preserve"> (#724 ἁρπαγή), means “robbery” or “plunder.”</w:t>
      </w:r>
      <w:r>
        <w:rPr>
          <w:rStyle w:val="FootnoteReference"/>
        </w:rPr>
        <w:footnoteReference w:id="20701"/>
      </w:r>
      <w:r>
        <w:rPr/>
        <w:t xml:space="preserve"> In all of these uses </w:t>
      </w:r>
      <w:r>
        <w:rPr>
          <w:i/>
          <w:iCs/>
        </w:rPr>
        <w:t xml:space="preserve">harpagmos</w:t>
      </w:r>
      <w:r>
        <w:rPr/>
        <w:t xml:space="preserve"> and its close semantic neighbors refer to something that one does not already own or possess;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FootnoteReference"/>
        </w:rPr>
        <w:footnoteReference w:id="23840"/>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he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FootnoteReference"/>
        </w:rPr>
        <w:footnoteReference w:id="14781"/>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FootnoteReference"/>
        </w:rPr>
        <w:footnoteReference w:id="29163"/>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FootnoteReference"/>
        </w:rPr>
        <w:footnoteReference w:id="19515"/>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FootnoteReference"/>
        </w:rPr>
        <w:footnoteReference w:id="17050"/>
      </w:r>
      <w:r>
        <w:rPr/>
        <w:t xml:space="preserve"> “to give exceptional honor,”</w:t>
      </w:r>
      <w:r>
        <w:rPr>
          <w:rStyle w:val="FootnoteReference"/>
        </w:rPr>
        <w:footnoteReference w:id="32656"/>
      </w:r>
      <w:r>
        <w:rPr/>
        <w:t xml:space="preserve"> “raise someone to the loftiest height.”</w:t>
      </w:r>
      <w:r>
        <w:rPr>
          <w:rStyle w:val="FootnoteReference"/>
        </w:rPr>
        <w:footnoteReference w:id="22919"/>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FootnoteReference"/>
        </w:rPr>
        <w:footnoteReference w:id="23261"/>
      </w:r>
      <w:r>
        <w:rPr/>
        <w:t xml:space="preserve"> “raised him to the highest place”;</w:t>
      </w:r>
      <w:r>
        <w:rPr>
          <w:rStyle w:val="FootnoteReference"/>
        </w:rPr>
        <w:footnoteReference w:id="25766"/>
      </w:r>
      <w:r>
        <w:rPr/>
        <w:t xml:space="preserve"> “exalted him to the highest place.”</w:t>
      </w:r>
      <w:r>
        <w:rPr>
          <w:rStyle w:val="FootnoteReference"/>
        </w:rPr>
        <w:footnoteReference w:id="23856"/>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by virtue of being “saved,” and as such have an inherent “status.” Yet God would have us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phrase does not mean continue to work </w:t>
      </w:r>
      <w:r>
        <w:rPr>
          <w:i/>
          <w:iCs/>
        </w:rPr>
        <w:t xml:space="preserve">for</w:t>
      </w:r>
      <w:r>
        <w:rPr/>
        <w:t xml:space="preserve"> your own salvation, but continue to work it out, that is, let your salvation work in your life to make you whole, and so it is apparent to others. In Philippians 2:12, Paul is speaking to those who have already accepted Christ, which is something we can see if we read the whole sentence, which includes Philippians 2:12 and 2:13 (in some versions verses 12 and 13 are separate, but they should not be; verse 13 starts with “for” and finishes the thought Paul started in verse 12).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born again, both to want to do and to do the will of God, so they should flow with the will of God and let their salvation work in and through them.</w:t>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trusting what you heard? Are you so senseless? Having begun in the spirit, are you now trying to be completed in the flesh?” (Gal. 3:2-3).</w:t>
      </w:r>
    </w:p>
    <w:p>
      <w:pPr>
        <w:pStyle w:val="rNormal"/>
        <w:widowControl w:val="on"/>
        <w:spacing w:before="240" w:after="240" w:line="240" w:lineRule="auto"/>
        <w:ind w:left="0" w:right="0"/>
        <w:jc w:val="left"/>
      </w:pPr>
      <w:r>
        <w:rPr/>
        <w:t xml:space="preserve">This verse flows with the scope of Scripture about salvation, and is not about continuing to work in order to be perfected by the flesh; it is not about working </w:t>
      </w:r>
      <w:r>
        <w:rPr>
          <w:i/>
          <w:iCs/>
        </w:rPr>
        <w:t xml:space="preserve">toward</w:t>
      </w:r>
      <w:r>
        <w:rPr/>
        <w:t xml:space="preserve"> salvation, but working </w:t>
      </w:r>
      <w:r>
        <w:rPr>
          <w:i/>
          <w:iCs/>
        </w:rPr>
        <w:t xml:space="preserve">out from</w:t>
      </w:r>
      <w:r>
        <w:rPr/>
        <w:t xml:space="preserve"> salvation. The Greek word for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Thus, the verse is saying, “be outworking your salvation!” This word has a range of meanings, including “accomplish” and “bring about.” But the Christian is saved, so there is no need to “accomplish” salvation. The need is to let the salvation, which is internal and unseen, show outwardly in our lives. Many verses in the Epistles say as much, that the Christian needs to take his internal salvation and live it outwardly in the flesh (cf. Rom. 13:14; Eph. 4:24; Col. 3:10). As Jac Müller has written in his commentary:</w:t>
      </w:r>
    </w:p>
    <w:p>
      <w:pPr>
        <w:pStyle w:val="rNormal"/>
        <w:widowControl w:val="on"/>
        <w:spacing w:before="240" w:after="240" w:line="240" w:lineRule="auto"/>
        <w:ind w:left="312" w:right="0" w:firstLine="2"/>
        <w:jc w:val="left"/>
      </w:pPr>
      <w:r>
        <w:rPr/>
        <w:t xml:space="preserve">To “work out” one’s own eternal welfare or salvation does not mean that man can or must work and accomplish it himself, for God does that (Phil. 2:13); but that the believer must finish, must carry to conclusion, must apply to its fullest consequences what is already given by God in principle. The believer is called to self-activity, to the active pursuit of the will of God, to the promotion of the spiritual life in himself, to the realization of the virtues of the Christian life, and to a personal application of salvation. He must “work out” what God in His grace has “worked in.”</w:t>
      </w:r>
      <w:r>
        <w:rPr>
          <w:rStyle w:val="FootnoteReference"/>
        </w:rPr>
        <w:footnoteReference w:id="32494"/>
      </w:r>
    </w:p>
    <w:p>
      <w:pPr>
        <w:pStyle w:val="rNormal"/>
        <w:widowControl w:val="on"/>
        <w:spacing w:before="240" w:after="240" w:line="240" w:lineRule="auto"/>
        <w:ind w:left="0" w:right="0"/>
        <w:jc w:val="left"/>
      </w:pPr>
      <w:r>
        <w:rPr/>
        <w:t xml:space="preserve">Many commentators believe that good works are in some way an essential part of salvation, either earning it (Roman Catholic) or keeping our salvation by doing good works (then, if you get drunk, commit adultery or murder, etc., you lose your salvation). For that reason, many commentators use this verse to say that we “work out,” i.e., “accomplish” or “produce,” our own salvation. Although </w:t>
      </w:r>
      <w:r>
        <w:rPr>
          <w:i/>
          <w:iCs/>
        </w:rPr>
        <w:t xml:space="preserve">katergazomai</w:t>
      </w:r>
      <w:r>
        <w:rPr/>
        <w:t xml:space="preserve"> can mean “produce,” that is not its meaning here, because, as such, Paul would be contradicting what he himself has taught elsewhere. Rather, the word’s meaning here is more akin to its usage in Ephesians 6:13. There it is used with the sense of “having done all,” or as the NJB translates it, “exert yourselves to the full.” Notice that the reason we can effectively “out-work” our salvation is that God works in us. This is clearly stated: “…out-work your own salvation…for it is God who works (ἐνεργῶν; present participle active; “is working”) in you….” So we OUT-work as God works IN us. This is more evidence that the verse is not saying that we are to “accomplish” salvation. We are saved, which is why God can work in us. It is in large part due to the presence of the gift of holy spirit that we received when we were saved (Eph. 1:13-14) that God is able to work in us.</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a grueling task that we have to do. Yet, Paul’s reasoning for why this out-working of our salvation, or in other words, living as a Christian, is to be done in fear and trembling is because God is working in us to accomplish this (Phil. 2:13). Doing God’s will is not a light or unimportant thing.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FootnoteReference"/>
        </w:rPr>
        <w:footnoteReference w:id="26106"/>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FootnoteReference"/>
        </w:rPr>
        <w:footnoteReference w:id="15442"/>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FootnoteReference"/>
        </w:rPr>
        <w:footnoteReference w:id="30500"/>
      </w:r>
      <w:r>
        <w:rPr/>
        <w:t xml:space="preserve"> “As an expression of dissatisfaction: grumbling, complaining.”</w:t>
      </w:r>
      <w:r>
        <w:rPr>
          <w:rStyle w:val="FootnoteReference"/>
        </w:rPr>
        <w:footnoteReference w:id="14163"/>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FootnoteReference"/>
        </w:rPr>
        <w:footnoteReference w:id="31227"/>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FootnoteReference"/>
        </w:rPr>
        <w:footnoteReference w:id="32312"/>
      </w:r>
      <w:r>
        <w:rPr/>
        <w:t xml:space="preserve"> On the other hand, the KJV, NEB, NIV84, Rotherham, Weymouth, Wuest, and YLT, and commentators such as Alford, Vincent,</w:t>
      </w:r>
      <w:r>
        <w:rPr>
          <w:rStyle w:val="FootnoteReference"/>
        </w:rPr>
        <w:footnoteReference w:id="18916"/>
      </w:r>
      <w:r>
        <w:rPr/>
        <w:t xml:space="preserve"> Scott,</w:t>
      </w:r>
      <w:r>
        <w:rPr>
          <w:rStyle w:val="FootnoteReference"/>
        </w:rPr>
        <w:footnoteReference w:id="13181"/>
      </w:r>
      <w:r>
        <w:rPr/>
        <w:t xml:space="preserve"> and Hendriksen</w:t>
      </w:r>
      <w:r>
        <w:rPr>
          <w:rStyle w:val="FootnoteReference"/>
        </w:rPr>
        <w:footnoteReference w:id="24341"/>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FootnoteReference"/>
        </w:rPr>
        <w:footnoteReference w:id="13949"/>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FootnoteReference"/>
        </w:rPr>
        <w:footnoteReference w:id="27516"/>
      </w:r>
    </w:p>
    <w:p>
      <w:pPr>
        <w:pStyle w:val="rNormal"/>
        <w:widowControl w:val="on"/>
        <w:spacing w:before="240" w:after="240" w:line="240" w:lineRule="auto"/>
        <w:ind w:left="0" w:right="0" w:firstLine="1"/>
        <w:jc w:val="left"/>
      </w:pPr>
      <w:r>
        <w:rPr>
          <w:b/>
          <w:bCs/>
        </w:rPr>
        <w:t xml:space="preserve">“</w:t>
      </w:r>
      <w:r>
        <w:rPr>
          <w:b/>
          <w:bCs/>
          <w:i/>
          <w:iCs/>
        </w:rPr>
        <w:t xml:space="preserve">drink offering</w:t>
      </w:r>
      <w:r>
        <w:rPr>
          <w:b/>
          <w:bCs/>
        </w:rPr>
        <w:t xml:space="preserve">.”</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allude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FootnoteReference"/>
        </w:rPr>
        <w:footnoteReference w:id="16463"/>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FootnoteReference"/>
        </w:rPr>
        <w:footnoteReference w:id="21336"/>
      </w:r>
      <w:r>
        <w:rPr/>
        <w:t xml:space="preserve"> and thus to be encouraged, heartened, cheered up. This is its only usage in the Bible, but it is found in secular Greek literature. Paul was concerned about the Philippian believers but would be cheered up and encouraged if, when Timothy came back to him after being with them, he reported that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“Instead, seek first the Kingdom of God and his righteousness, and all these things will be provided for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In contrast to the long delays we experience in courts today—where months can pass between a trial and its verdict or sentencing—in the ancient world, the verdict and sentence were delivered immediately at the conclusion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2:24</w:t>
      </w:r>
    </w:p>
    <w:p>
      <w:pPr>
        <w:pStyle w:val="rNormal"/>
        <w:widowControl w:val="on"/>
        <w:spacing w:before="240" w:after="240" w:line="240" w:lineRule="auto"/>
        <w:ind w:left="0" w:right="0" w:firstLine="1"/>
        <w:jc w:val="left"/>
      </w:pPr>
      <w:r>
        <w:rPr>
          <w:b/>
          <w:bCs/>
        </w:rPr>
        <w:t xml:space="preserve">“in the Lord.”</w:t>
      </w:r>
      <w:r>
        <w:rPr/>
        <w:t xml:space="preserve"> The phrase “in the Lord” is addressed in the Word Study: “In the Lord.”</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FootnoteReference"/>
        </w:rPr>
        <w:footnoteReference w:id="12621"/>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2:29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FootnoteReference"/>
        </w:rPr>
        <w:footnoteReference w:id="28132"/>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FootnoteReference"/>
        </w:rPr>
        <w:footnoteReference w:id="11186"/>
      </w:r>
      <w:r>
        <w:rPr/>
        <w:t xml:space="preserve"> Since this is the beginning of a new subject, “furthermore” is appropriate, and a more workable translation than something like Wuest, “as for the rest [of which I wish to say to you].”</w:t>
      </w:r>
      <w:r>
        <w:rPr>
          <w:rStyle w:val="FootnoteReference"/>
        </w:rPr>
        <w:footnoteReference w:id="16713"/>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FootnoteReference"/>
        </w:rPr>
        <w:footnoteReference w:id="18400"/>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were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2591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FootnoteReference"/>
        </w:rPr>
        <w:footnoteReference w:id="14747"/>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has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they cannot “make it” by qualifying in the flesh—Paul himself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FootnoteReference"/>
        </w:rPr>
        <w:footnoteReference w:id="22858"/>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FootnoteReference"/>
        </w:rPr>
        <w:footnoteReference w:id="18197"/>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FootnoteReference"/>
        </w:rPr>
        <w:footnoteReference w:id="13212"/>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language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FootnoteReference"/>
        </w:rPr>
        <w:footnoteReference w:id="30307"/>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FootnoteReference"/>
        </w:rPr>
        <w:footnoteReference w:id="22082"/>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FootnoteReference"/>
        </w:rPr>
        <w:footnoteReference w:id="22614"/>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FootnoteReference"/>
        </w:rPr>
        <w:footnoteReference w:id="19813"/>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FootnoteReference"/>
        </w:rPr>
        <w:footnoteReference w:id="17491"/>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FootnoteReference"/>
        </w:rPr>
        <w:footnoteReference w:id="17543"/>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3:9</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FootnoteReference"/>
        </w:rPr>
        <w:footnoteReference w:id="12549"/>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FootnoteReference"/>
        </w:rPr>
        <w:footnoteReference w:id="14570"/>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FootnoteReference"/>
        </w:rPr>
        <w:footnoteReference w:id="26514"/>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FootnoteReference"/>
        </w:rPr>
        <w:footnoteReference w:id="24559"/>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were,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FootnoteReference"/>
        </w:rPr>
        <w:footnoteReference w:id="27718"/>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(HCSB);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FootnoteReference"/>
        </w:rPr>
        <w:footnoteReference w:id="21776"/>
      </w:r>
      <w:r>
        <w:rPr/>
        <w:t xml:space="preserve"> It is “to exert oneself to the uttermost, </w:t>
      </w:r>
      <w:r>
        <w:rPr>
          <w:i/>
          <w:iCs/>
        </w:rPr>
        <w:t xml:space="preserve">stretch out, strain.</w:t>
      </w:r>
      <w:r>
        <w:rPr/>
        <w:t xml:space="preserve">”</w:t>
      </w:r>
      <w:r>
        <w:rPr>
          <w:rStyle w:val="FootnoteReference"/>
        </w:rPr>
        <w:footnoteReference w:id="22099"/>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were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had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FootnoteReference"/>
        </w:rPr>
        <w:footnoteReference w:id="16495"/>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ESV, GNV, HCSB,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FootnoteReference"/>
        </w:rPr>
        <w:footnoteReference w:id="12087"/>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(ESV, NIV) or “in the likeness” (CSB, NET)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Philippi, but it indicates that perhaps “loyal co-laborer”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FootnoteReference"/>
        </w:rPr>
        <w:footnoteReference w:id="18345"/>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w:t>
      </w:r>
      <w:r>
        <w:rPr>
          <w:b/>
          <w:bCs/>
          <w:i/>
          <w:iCs/>
        </w:rPr>
        <w:t xml:space="preserve">since you are</w:t>
      </w:r>
      <w:r>
        <w:rPr>
          <w:b/>
          <w:bCs/>
        </w:rPr>
        <w:t xml:space="preserve">.”</w:t>
      </w:r>
      <w:r>
        <w:rPr/>
        <w:t xml:space="preserve"> This could also be translated using “because you are” instead of “since you are.” It is “because” of our union with Christ and the wonderful hope that is laid out before us that we can have the “peace of God that surpasses all understanding.” In this life we have trouble upon trouble, but in the next, we will have everlasting joy, and that is why we should have peace that guards our heart.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word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When we get born again, we can look forward to a wonderful everlasting life, and as we live like Christ, are thankful, and pray for God’s help, we can truly have the peace of God that will guard our hearts and thoughts. The Christian can be truly peaceful because we have God’s ever-present help and the hope of a wonderful future, no matter what happens to us in this present evil age. Like the Apostle Paul said, “I consider that the sufferings of this present time are not worthy </w:t>
      </w:r>
      <w:r>
        <w:rPr>
          <w:i/>
          <w:iCs/>
        </w:rPr>
        <w:t xml:space="preserve">to be</w:t>
      </w:r>
      <w:r>
        <w:rPr/>
        <w:t xml:space="preserve"> compared with the glory that is going to be revealed to us” (Rom. 8:18).</w:t>
      </w:r>
    </w:p>
    <w:p>
      <w:pPr>
        <w:pStyle w:val="rNormal"/>
        <w:widowControl w:val="on"/>
        <w:spacing w:before="240" w:after="240" w:line="240" w:lineRule="auto"/>
        <w:ind w:left="0" w:right="0"/>
        <w:jc w:val="left"/>
      </w:pPr>
      <w:r>
        <w:rPr/>
        <w:t xml:space="preserve">The importance of the addition of the phrase “in </w:t>
      </w:r>
      <w:r>
        <w:rPr>
          <w:i/>
          <w:iCs/>
        </w:rPr>
        <w:t xml:space="preserve">union with</w:t>
      </w:r>
      <w:r>
        <w:rPr/>
        <w:t xml:space="preserve">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FootnoteReference"/>
        </w:rPr>
        <w:footnoteReference w:id="16780"/>
      </w:r>
      <w:r>
        <w:rPr/>
        <w:t xml:space="preserve"> I-Jin Loh and Eugene Nida write, “Paul introduces the important phrase </w:t>
      </w:r>
      <w:r>
        <w:rPr>
          <w:u w:val="single"/>
        </w:rPr>
        <w:t xml:space="preserve">in union with Christ Jesus</w:t>
      </w:r>
      <w:r>
        <w:rPr/>
        <w:t xml:space="preserve"> (literally, “in Christ Jesus”) to close the sentence. It is a solemn reminder to his readers that outside of their closest possible union with Christ there is no protection, no safekeeping by God’s peace.”</w:t>
      </w:r>
      <w:r>
        <w:rPr>
          <w:rStyle w:val="FootnoteReference"/>
        </w:rPr>
        <w:footnoteReference w:id="20244"/>
      </w:r>
    </w:p>
    <w:p>
      <w:pPr>
        <w:pStyle w:val="rNormal"/>
        <w:widowControl w:val="on"/>
        <w:spacing w:before="240" w:after="240" w:line="240" w:lineRule="auto"/>
        <w:ind w:left="0" w:right="0"/>
        <w:jc w:val="left"/>
      </w:pPr>
      <w:r>
        <w:rPr/>
        <w:t xml:space="preserve">Charles Williams’ translation, </w:t>
      </w:r>
      <w:r>
        <w:rPr>
          <w:i/>
          <w:iCs/>
        </w:rPr>
        <w:t xml:space="preserve">The New Testament in the Language of the People</w:t>
      </w:r>
      <w:r>
        <w:rPr/>
        <w:t xml:space="preserve">, considered to be one of the best available English translations of the New Testament,</w:t>
      </w:r>
      <w:r>
        <w:rPr>
          <w:rStyle w:val="FootnoteReference"/>
        </w:rPr>
        <w:footnoteReference w:id="16937"/>
      </w:r>
      <w:r>
        <w:rPr/>
        <w:t xml:space="preserve"> reads, “Then, through your union with Christ Jesus, the peace of God, that surpasses all human thought, will keep guard over your hearts and thoughts.” </w:t>
      </w:r>
      <w:r>
        <w:rPr>
          <w:i/>
          <w:iCs/>
        </w:rPr>
        <w:t xml:space="preserve">Today’s English Version</w:t>
      </w:r>
      <w:r>
        <w:rPr/>
        <w:t xml:space="preserve"> of the New Testament reads, “And God's peace, which is far beyond human understanding, will keep your hearts and minds safe in union with Christ Jesus.”</w:t>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FootnoteReference"/>
        </w:rPr>
        <w:footnoteReference w:id="31272"/>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FootnoteReference"/>
        </w:rPr>
        <w:footnoteReference w:id="24492"/>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FootnoteReference"/>
        </w:rPr>
        <w:footnoteReference w:id="27264"/>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FootnoteReference"/>
        </w:rPr>
        <w:footnoteReference w:id="32459"/>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earthly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FootnoteReference"/>
        </w:rPr>
        <w:footnoteReference w:id="15071"/>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FootnoteReference"/>
        </w:rPr>
        <w:footnoteReference w:id="19937"/>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in Greek describes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largesse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play-'rah-ō),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5432684eb84a135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432862"/>
      <w:docPartObj>
        <w:docPartGallery w:val="Page Numbers (Bottom of Page)"/>
        <w:docPartUnique/>
      </w:docPartObj>
    </w:sdtPr>
    <w:sdtContent>
      <w:sdt>
        <w:sdtPr>
          <w:id w:val="3130342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174">
    <w:p>
      <w:pPr>
        <w:pStyle w:val="FootnoteText"/>
      </w:pPr>
      <w:r>
        <w:rPr>
          <w:rStyle w:val="FootnoteReference"/>
        </w:rPr>
        <w:footnoteRef/>
      </w:r>
      <w:r>
        <w:t xml:space="preserve">
          <w:r>
            <w:t xml:space="preserve">
              <w:r>
                <w:t xml:space="preserve"> Heinrich Meyer, </w:t>
              </w:r>
              <w:r>
                <w:rPr>
                  <w:i/>
                </w:rPr>
                <w:t xml:space="preserve">The Epistle of Paul to the Philippians</w:t>
              </w:r>
              <w:r>
                <w:t xml:space="preserve">, 12.</w:t>
              </w:r>
            </w:t>
          </w:r>
        </w:t>
      </w:r>
    </w:p>
  </w:footnote>
  <w:footnote w:id="27971">
    <w:p>
      <w:pPr>
        <w:pStyle w:val="FootnoteText"/>
      </w:pPr>
      <w:r>
        <w:rPr>
          <w:rStyle w:val="FootnoteReference"/>
        </w:rPr>
        <w:footnoteRef/>
      </w:r>
      <w:r>
        <w:t xml:space="preserve">
          <w:r>
            <w:t xml:space="preserve">
              <w:r>
                <w:t xml:space="preserve"> R. C. H. Lenski, </w:t>
              </w:r>
              <w:r>
                <w:rPr>
                  <w:i/>
                </w:rPr>
                <w:t xml:space="preserve">Interpretation of St Paul’s Epistles to the Ephesians and Philippians</w:t>
              </w:r>
              <w:r>
                <w:t xml:space="preserve">, 702.</w:t>
              </w:r>
            </w:t>
          </w:r>
        </w:t>
      </w:r>
    </w:p>
  </w:footnote>
  <w:footnote w:id="12607">
    <w:p>
      <w:pPr>
        <w:pStyle w:val="FootnoteText"/>
      </w:pPr>
      <w:r>
        <w:rPr>
          <w:rStyle w:val="FootnoteReference"/>
        </w:rPr>
        <w:footnoteRef/>
      </w:r>
      <w:r>
        <w:t xml:space="preserve">
          <w:r>
            <w:t xml:space="preserve">
              <w:r>
                <w:t xml:space="preserve"> William Graham MacDonald, </w:t>
              </w:r>
              <w:r>
                <w:rPr>
                  <w:i/>
                </w:rPr>
                <w:t xml:space="preserve">Greek Enchiridion</w:t>
              </w:r>
              <w:r>
                <w:t xml:space="preserve">, 32; cf. Ernest De Witt Burton, </w:t>
              </w:r>
              <w:r>
                <w:rPr>
                  <w:i/>
                </w:rPr>
                <w:t xml:space="preserve">Syntax of Moods and Tenses </w:t>
              </w:r>
              <w:r>
                <w:t xml:space="preserve">, 60.</w:t>
              </w:r>
            </w:t>
          </w:r>
        </w:t>
      </w:r>
    </w:p>
  </w:footnote>
  <w:footnote w:id="31642">
    <w:p>
      <w:pPr>
        <w:pStyle w:val="FootnoteText"/>
      </w:pPr>
      <w:r>
        <w:rPr>
          <w:rStyle w:val="FootnoteReference"/>
        </w:rPr>
        <w:footnoteRef/>
      </w:r>
      <w:r>
        <w:t xml:space="preserve">
          <w:r>
            <w:t xml:space="preserve">
              <w:r>
                <w:t xml:space="preserve"> See Liddell &amp; Scott, </w:t>
              </w:r>
              <w:r>
                <w:rPr>
                  <w:i/>
                </w:rPr>
                <w:t xml:space="preserve">Greek-English Lexicon</w:t>
              </w:r>
              <w:r>
                <w:t xml:space="preserve">, s.v. “ἐπιτελέω.”</w:t>
              </w:r>
            </w:t>
          </w:r>
        </w:t>
      </w:r>
    </w:p>
  </w:footnote>
  <w:footnote w:id="32110">
    <w:p>
      <w:pPr>
        <w:pStyle w:val="FootnoteText"/>
      </w:pPr>
      <w:r>
        <w:rPr>
          <w:rStyle w:val="FootnoteReference"/>
        </w:rPr>
        <w:footnoteRef/>
      </w:r>
      <w:r>
        <w:t xml:space="preserve">
          <w:r>
            <w:t xml:space="preserve">
              <w:r>
                <w:t xml:space="preserve"> Nyland, </w:t>
              </w:r>
              <w:r>
                <w:rPr>
                  <w:i/>
                </w:rPr>
                <w:t xml:space="preserve">The Source New Testament</w:t>
              </w:r>
              <w:r>
                <w:t xml:space="preserve">, 378n3.</w:t>
              </w:r>
            </w:t>
          </w:r>
        </w:t>
      </w:r>
    </w:p>
  </w:footnote>
  <w:footnote w:id="17285">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4:437.</w:t>
              </w:r>
            </w:t>
          </w:r>
        </w:t>
      </w:r>
    </w:p>
  </w:footnote>
  <w:footnote w:id="24656">
    <w:p>
      <w:pPr>
        <w:pStyle w:val="FootnoteText"/>
      </w:pPr>
      <w:r>
        <w:rPr>
          <w:rStyle w:val="FootnoteReference"/>
        </w:rPr>
        <w:footnoteRef/>
      </w:r>
      <w:r>
        <w:t xml:space="preserve">
          <w:r>
            <w:t xml:space="preserve">
              <w:r>
                <w:t xml:space="preserve"> Gordon Fee, </w:t>
              </w:r>
              <w:r>
                <w:rPr>
                  <w:i/>
                </w:rPr>
                <w:t xml:space="preserve">Paul’s Letter to the Philippian</w:t>
              </w:r>
              <w:r>
                <w:t xml:space="preserve">s [NICNT], 103-104.</w:t>
              </w:r>
            </w:t>
          </w:r>
        </w:t>
      </w:r>
    </w:p>
  </w:footnote>
  <w:footnote w:id="24240">
    <w:p>
      <w:pPr>
        <w:pStyle w:val="FootnoteText"/>
      </w:pPr>
      <w:r>
        <w:rPr>
          <w:rStyle w:val="FootnoteReference"/>
        </w:rPr>
        <w:footnoteRef/>
      </w:r>
      <w:r>
        <w:t xml:space="preserve">
          <w:r>
            <w:t xml:space="preserve">
              <w:r>
                <w:t xml:space="preserve"> BDAG </w:t>
              </w:r>
              <w:r>
                <w:rPr>
                  <w:i/>
                </w:rPr>
                <w:t xml:space="preserve">Greek-English Lexicon</w:t>
              </w:r>
              <w:r>
                <w:t xml:space="preserve">, s.v. “ἀποβαίνω.”</w:t>
              </w:r>
            </w:t>
          </w:r>
        </w:t>
      </w:r>
    </w:p>
  </w:footnote>
  <w:footnote w:id="30198">
    <w:p>
      <w:pPr>
        <w:pStyle w:val="FootnoteText"/>
      </w:pPr>
      <w:r>
        <w:rPr>
          <w:rStyle w:val="FootnoteReference"/>
        </w:rPr>
        <w:footnoteRef/>
      </w:r>
      <w:r>
        <w:t xml:space="preserve">
          <w:r>
            <w:t xml:space="preserve">
              <w:r>
                <w:t xml:space="preserve"> Richard R. Melick, </w:t>
              </w:r>
              <w:r>
                <w:rPr>
                  <w:i/>
                </w:rPr>
                <w:t xml:space="preserve">Philippians, Colossians, Philemon</w:t>
              </w:r>
              <w:r>
                <w:t xml:space="preserve"> [NAC], 90-91.</w:t>
              </w:r>
            </w:t>
          </w:r>
        </w:t>
      </w:r>
    </w:p>
  </w:footnote>
  <w:footnote w:id="15953">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146.</w:t>
              </w:r>
            </w:t>
          </w:r>
        </w:t>
      </w:r>
    </w:p>
  </w:footnote>
  <w:footnote w:id="30013">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 50.</w:t>
              </w:r>
            </w:t>
          </w:r>
        </w:t>
      </w:r>
    </w:p>
  </w:footnote>
  <w:footnote w:id="30909">
    <w:p>
      <w:pPr>
        <w:pStyle w:val="FootnoteText"/>
      </w:pPr>
      <w:r>
        <w:rPr>
          <w:rStyle w:val="FootnoteReference"/>
        </w:rPr>
        <w:footnoteRef/>
      </w:r>
      <w:r>
        <w:t xml:space="preserve">
          <w:r>
            <w:t xml:space="preserve">
              <w:r>
                <w:t xml:space="preserve"> Hawthorne and Martin, </w:t>
              </w:r>
              <w:r>
                <w:rPr>
                  <w:i/>
                </w:rPr>
                <w:t xml:space="preserve">Philippians</w:t>
              </w:r>
              <w:r>
                <w:t xml:space="preserve"> [WBC], 49.</w:t>
              </w:r>
            </w:t>
          </w:r>
        </w:t>
      </w:r>
    </w:p>
  </w:footnote>
  <w:footnote w:id="28781">
    <w:p>
      <w:pPr>
        <w:pStyle w:val="FootnoteText"/>
      </w:pPr>
      <w:r>
        <w:rPr>
          <w:rStyle w:val="FootnoteReference"/>
        </w:rPr>
        <w:footnoteRef/>
      </w:r>
      <w:r>
        <w:t xml:space="preserve">
          <w:r>
            <w:t xml:space="preserve">
              <w:r>
                <w:t xml:space="preserve"> Hawthorne and Martin, </w:t>
              </w:r>
              <w:r>
                <w:rPr>
                  <w:i/>
                </w:rPr>
                <w:t xml:space="preserve">Philippians</w:t>
              </w:r>
              <w:r>
                <w:t xml:space="preserve"> [WBC], 49, 50.</w:t>
              </w:r>
            </w:t>
          </w:r>
        </w:t>
      </w:r>
    </w:p>
  </w:footnote>
  <w:footnote w:id="10491">
    <w:p>
      <w:pPr>
        <w:pStyle w:val="FootnoteText"/>
      </w:pPr>
      <w:r>
        <w:rPr>
          <w:rStyle w:val="FootnoteReference"/>
        </w:rPr>
        <w:footnoteRef/>
      </w:r>
      <w:r>
        <w:t xml:space="preserve">
          <w:r>
            <w:t xml:space="preserve">
              <w:r>
                <w:t xml:space="preserve"> Hawthorne and Martin, </w:t>
              </w:r>
              <w:r>
                <w:rPr>
                  <w:i/>
                </w:rPr>
                <w:t xml:space="preserve">Philippians</w:t>
              </w:r>
              <w:r>
                <w:t xml:space="preserve"> [WBC], 50.</w:t>
              </w:r>
            </w:t>
          </w:r>
        </w:t>
      </w:r>
    </w:p>
  </w:footnote>
  <w:footnote w:id="30334">
    <w:p>
      <w:pPr>
        <w:pStyle w:val="FootnoteText"/>
      </w:pPr>
      <w:r>
        <w:rPr>
          <w:rStyle w:val="FootnoteReference"/>
        </w:rPr>
        <w:footnoteRef/>
      </w:r>
      <w:r>
        <w:t xml:space="preserve">
          <w:r>
            <w:t xml:space="preserve">
              <w:r>
                <w:t xml:space="preserve"> Cf. BDAG; Friberg; Louw and Nida; Brill; s.v. “ἀναλύω.”</w:t>
              </w:r>
            </w:t>
          </w:r>
        </w:t>
      </w:r>
    </w:p>
  </w:footnote>
  <w:footnote w:id="20704">
    <w:p>
      <w:pPr>
        <w:pStyle w:val="FootnoteText"/>
      </w:pPr>
      <w:r>
        <w:rPr>
          <w:rStyle w:val="FootnoteReference"/>
        </w:rPr>
        <w:footnoteRef/>
      </w:r>
      <w:r>
        <w:t xml:space="preserve">
          <w:r>
            <w:t xml:space="preserve">
              <w:r>
                <w:t xml:space="preserve"> Bullinger, </w:t>
              </w:r>
              <w:r>
                <w:rPr>
                  <w:i/>
                </w:rPr>
                <w:t xml:space="preserve">The Companion Bible</w:t>
              </w:r>
              <w:r>
                <w:t xml:space="preserve">, 1774.</w:t>
              </w:r>
            </w:t>
          </w:r>
        </w:t>
      </w:r>
    </w:p>
  </w:footnote>
  <w:footnote w:id="29523">
    <w:p>
      <w:pPr>
        <w:pStyle w:val="FootnoteText"/>
      </w:pPr>
      <w:r>
        <w:rPr>
          <w:rStyle w:val="FootnoteReference"/>
        </w:rPr>
        <w:footnoteRef/>
      </w:r>
      <w:r>
        <w:t xml:space="preserve">
          <w:r>
            <w:t xml:space="preserve">
              <w:r>
                <w:t xml:space="preserve"> Peter O’Brien, </w:t>
              </w:r>
              <w:r>
                <w:rPr>
                  <w:i/>
                </w:rPr>
                <w:t xml:space="preserve">The Epistle to the Philippians</w:t>
              </w:r>
              <w:r>
                <w:t xml:space="preserve"> [NIGTC].</w:t>
              </w:r>
            </w:t>
          </w:r>
        </w:t>
      </w:r>
    </w:p>
  </w:footnote>
  <w:footnote w:id="17421">
    <w:p>
      <w:pPr>
        <w:pStyle w:val="FootnoteText"/>
      </w:pPr>
      <w:r>
        <w:rPr>
          <w:rStyle w:val="FootnoteReference"/>
        </w:rPr>
        <w:footnoteRef/>
      </w:r>
      <w:r>
        <w:t xml:space="preserve">
          <w:r>
            <w:t xml:space="preserve">
              <w:r>
                <w:t xml:space="preserve"> O’Brien, </w:t>
              </w:r>
              <w:r>
                <w:rPr>
                  <w:i/>
                </w:rPr>
                <w:t xml:space="preserve">Philippians</w:t>
              </w:r>
              <w:r>
                <w:t xml:space="preserve"> [NIGTC].</w:t>
              </w:r>
            </w:t>
          </w:r>
        </w:t>
      </w:r>
    </w:p>
  </w:footnote>
  <w:footnote w:id="19079">
    <w:p>
      <w:pPr>
        <w:pStyle w:val="FootnoteText"/>
      </w:pPr>
      <w:r>
        <w:rPr>
          <w:rStyle w:val="FootnoteReference"/>
        </w:rPr>
        <w:footnoteRef/>
      </w:r>
      <w:r>
        <w:t xml:space="preserve">
          <w:r>
            <w:t xml:space="preserve">
              <w:r>
                <w:t xml:space="preserve"> BDAG, s.v. “χαρίζομαι.”</w:t>
              </w:r>
            </w:t>
          </w:r>
        </w:t>
      </w:r>
    </w:p>
  </w:footnote>
  <w:footnote w:id="21912">
    <w:p>
      <w:pPr>
        <w:pStyle w:val="FootnoteText"/>
      </w:pPr>
      <w:r>
        <w:rPr>
          <w:rStyle w:val="FootnoteReference"/>
        </w:rPr>
        <w:footnoteRef/>
      </w:r>
      <w:r>
        <w:t xml:space="preserve">
          <w:r>
            <w:t xml:space="preserve">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t>
          </w:r>
        </w:t>
      </w:r>
    </w:p>
  </w:footnote>
  <w:footnote w:id="14285">
    <w:p>
      <w:pPr>
        <w:pStyle w:val="FootnoteText"/>
      </w:pPr>
      <w:r>
        <w:rPr>
          <w:rStyle w:val="FootnoteReference"/>
        </w:rPr>
        <w:footnoteRef/>
      </w:r>
      <w:r>
        <w:t xml:space="preserve">
          <w:r>
            <w:t xml:space="preserve">
              <w:r>
                <w:t xml:space="preserve"> Lenski, </w:t>
              </w:r>
              <w:r>
                <w:rPr>
                  <w:i/>
                </w:rPr>
                <w:t xml:space="preserve">Philippians, Colossians and Thessalonians</w:t>
              </w:r>
              <w:r>
                <w:t xml:space="preserve">, 328.</w:t>
              </w:r>
            </w:t>
          </w:r>
        </w:t>
      </w:r>
    </w:p>
  </w:footnote>
  <w:footnote w:id="1074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 Charles Williams, </w:t>
              </w:r>
              <w:r>
                <w:rPr>
                  <w:i/>
                </w:rPr>
                <w:t xml:space="preserve">The New Testament</w:t>
              </w:r>
              <w:r>
                <w:t xml:space="preserve">.</w:t>
              </w:r>
            </w:t>
          </w:r>
        </w:t>
      </w:r>
    </w:p>
  </w:footnote>
  <w:footnote w:id="1164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4:443.</w:t>
              </w:r>
            </w:t>
          </w:r>
        </w:t>
      </w:r>
    </w:p>
  </w:footnote>
  <w:footnote w:id="22245">
    <w:p>
      <w:pPr>
        <w:pStyle w:val="FootnoteText"/>
      </w:pPr>
      <w:r>
        <w:rPr>
          <w:rStyle w:val="FootnoteReference"/>
        </w:rPr>
        <w:footnoteRef/>
      </w:r>
      <w:r>
        <w:t xml:space="preserve">
          <w:r>
            <w:t xml:space="preserve">
              <w:r>
                <w:t xml:space="preserve"> Lenski, </w:t>
              </w:r>
              <w:r>
                <w:rPr>
                  <w:i/>
                </w:rPr>
                <w:t xml:space="preserve">Galatians, Ephesians, Philippians</w:t>
              </w:r>
              <w:r>
                <w:t xml:space="preserve">, 765; Meyer, </w:t>
              </w:r>
              <w:r>
                <w:rPr>
                  <w:i/>
                </w:rPr>
                <w:t xml:space="preserve">Philippians and Colossians, and Philemon</w:t>
              </w:r>
              <w:r>
                <w:t xml:space="preserve">, 85.</w:t>
              </w:r>
            </w:t>
          </w:r>
        </w:t>
      </w:r>
    </w:p>
  </w:footnote>
  <w:footnote w:id="28716">
    <w:p>
      <w:pPr>
        <w:pStyle w:val="FootnoteText"/>
      </w:pPr>
      <w:r>
        <w:rPr>
          <w:rStyle w:val="FootnoteReference"/>
        </w:rPr>
        <w:footnoteRef/>
      </w:r>
      <w:r>
        <w:t xml:space="preserve">
          <w:r>
            <w:t xml:space="preserve">
              <w:r>
                <w:t xml:space="preserve"> Lenski, </w:t>
              </w:r>
              <w:r>
                <w:rPr>
                  <w:i/>
                </w:rPr>
                <w:t xml:space="preserve">Philippians</w:t>
              </w:r>
              <w:r>
                <w:t xml:space="preserve">, 765.</w:t>
              </w:r>
            </w:t>
          </w:r>
        </w:t>
      </w:r>
    </w:p>
  </w:footnote>
  <w:footnote w:id="25230">
    <w:p>
      <w:pPr>
        <w:pStyle w:val="FootnoteText"/>
      </w:pPr>
      <w:r>
        <w:rPr>
          <w:rStyle w:val="FootnoteReference"/>
        </w:rPr>
        <w:footnoteRef/>
      </w:r>
      <w:r>
        <w:t xml:space="preserve">
          <w:r>
            <w:t xml:space="preserve">
              <w:r>
                <w:t xml:space="preserve"> </w:t>
              </w:r>
              <w:r>
                <w:rPr>
                  <w:i/>
                </w:rPr>
                <w:t xml:space="preserve">Vine’s Complete Expository Dictionary</w:t>
              </w:r>
              <w:r>
                <w:t xml:space="preserve">, s.v. “form.”</w:t>
              </w:r>
            </w:t>
          </w:r>
        </w:t>
      </w:r>
    </w:p>
  </w:footnote>
  <w:footnote w:id="19801">
    <w:p>
      <w:pPr>
        <w:pStyle w:val="FootnoteText"/>
      </w:pPr>
      <w:r>
        <w:rPr>
          <w:rStyle w:val="FootnoteReference"/>
        </w:rPr>
        <w:footnoteRef/>
      </w:r>
      <w:r>
        <w:t xml:space="preserve">
          <w:r>
            <w:t xml:space="preserve">
              <w:r>
                <w:t xml:space="preserve"> Bullinger, </w:t>
              </w:r>
              <w:r>
                <w:rPr>
                  <w:i/>
                </w:rPr>
                <w:t xml:space="preserve">A Critical Lexicon and Concordance</w:t>
              </w:r>
              <w:r>
                <w:t xml:space="preserve">, s.v. “form.”</w:t>
              </w:r>
            </w:t>
          </w:r>
        </w:t>
      </w:r>
    </w:p>
  </w:footnote>
  <w:footnote w:id="17978">
    <w:p>
      <w:pPr>
        <w:pStyle w:val="FootnoteText"/>
      </w:pPr>
      <w:r>
        <w:rPr>
          <w:rStyle w:val="FootnoteReference"/>
        </w:rPr>
        <w:footnoteRef/>
      </w:r>
      <w:r>
        <w:t xml:space="preserve">
          <w:r>
            <w:t xml:space="preserve">
              <w:r>
                <w:t xml:space="preserve"> BDAG, s.v. “μορφή.”</w:t>
              </w:r>
            </w:t>
          </w:r>
        </w:t>
      </w:r>
    </w:p>
  </w:footnote>
  <w:footnote w:id="22516">
    <w:p>
      <w:pPr>
        <w:pStyle w:val="FootnoteText"/>
      </w:pPr>
      <w:r>
        <w:rPr>
          <w:rStyle w:val="FootnoteReference"/>
        </w:rPr>
        <w:footnoteRef/>
      </w:r>
      <w:r>
        <w:t xml:space="preserve">
          <w:r>
            <w:t xml:space="preserve">
              <w:r>
                <w:t xml:space="preserve"> Gerard Kittel, </w:t>
              </w:r>
              <w:r>
                <w:rPr>
                  <w:i/>
                </w:rPr>
                <w:t xml:space="preserve">Theological Dictionary of the New Testament</w:t>
              </w:r>
              <w:r>
                <w:t xml:space="preserve">, s.v. “μορφή.”</w:t>
              </w:r>
            </w:t>
          </w:r>
        </w:t>
      </w:r>
    </w:p>
  </w:footnote>
  <w:footnote w:id="25515">
    <w:p>
      <w:pPr>
        <w:pStyle w:val="FootnoteText"/>
      </w:pPr>
      <w:r>
        <w:rPr>
          <w:rStyle w:val="FootnoteReference"/>
        </w:rPr>
        <w:footnoteRef/>
      </w:r>
      <w:r>
        <w:t xml:space="preserve">
          <w:r>
            <w:t xml:space="preserve">
              <w:r>
                <w:t xml:space="preserve"> </w:t>
              </w:r>
              <w:r>
                <w:rPr>
                  <w:i/>
                </w:rPr>
                <w:t xml:space="preserve">Thayer’s Greek-English Lexicon</w:t>
              </w:r>
              <w:r>
                <w:t xml:space="preserve">, s.v. “μορφή.”</w:t>
              </w:r>
            </w:t>
          </w:r>
        </w:t>
      </w:r>
    </w:p>
  </w:footnote>
  <w:footnote w:id="22392">
    <w:p>
      <w:pPr>
        <w:pStyle w:val="FootnoteText"/>
      </w:pPr>
      <w:r>
        <w:rPr>
          <w:rStyle w:val="FootnoteReference"/>
        </w:rPr>
        <w:footnoteRef/>
      </w:r>
      <w:r>
        <w:t xml:space="preserve">
          <w:r>
            <w:t xml:space="preserve">
              <w:r>
                <w:t xml:space="preserve"> BDAG, s.v. “μορφή.”</w:t>
              </w:r>
            </w:t>
          </w:r>
        </w:t>
      </w:r>
    </w:p>
  </w:footnote>
  <w:footnote w:id="13938">
    <w:p>
      <w:pPr>
        <w:pStyle w:val="FootnoteText"/>
      </w:pPr>
      <w:r>
        <w:rPr>
          <w:rStyle w:val="FootnoteReference"/>
        </w:rPr>
        <w:footnoteRef/>
      </w:r>
      <w:r>
        <w:t xml:space="preserve">
          <w:r>
            <w:t xml:space="preserve">
              <w:r>
                <w:t xml:space="preserve"> Hawthorne and Martin, </w:t>
              </w:r>
              <w:r>
                <w:rPr>
                  <w:i/>
                </w:rPr>
                <w:t xml:space="preserve">Philippians</w:t>
              </w:r>
              <w:r>
                <w:t xml:space="preserve"> [WBC], 115.</w:t>
              </w:r>
            </w:t>
          </w:r>
        </w:t>
      </w:r>
    </w:p>
  </w:footnote>
  <w:footnote w:id="13126">
    <w:p>
      <w:pPr>
        <w:pStyle w:val="FootnoteText"/>
      </w:pPr>
      <w:r>
        <w:rPr>
          <w:rStyle w:val="FootnoteReference"/>
        </w:rPr>
        <w:footnoteRef/>
      </w:r>
      <w:r>
        <w:t xml:space="preserve">
          <w:r>
            <w:t xml:space="preserve">
              <w:r>
                <w:t xml:space="preserve"> BDAG, s.v. “ἁρπαγμός.”</w:t>
              </w:r>
            </w:t>
          </w:r>
        </w:t>
      </w:r>
    </w:p>
  </w:footnote>
  <w:footnote w:id="16913">
    <w:p>
      <w:pPr>
        <w:pStyle w:val="FootnoteText"/>
      </w:pPr>
      <w:r>
        <w:rPr>
          <w:rStyle w:val="FootnoteReference"/>
        </w:rPr>
        <w:footnoteRef/>
      </w:r>
      <w:r>
        <w:t xml:space="preserve">
          <w:r>
            <w:t xml:space="preserve">
              <w:r>
                <w:t xml:space="preserve"> BDAG, s.v. “ἁρπαγμός.”</w:t>
              </w:r>
            </w:t>
          </w:r>
        </w:t>
      </w:r>
    </w:p>
  </w:footnote>
  <w:footnote w:id="20701">
    <w:p>
      <w:pPr>
        <w:pStyle w:val="FootnoteText"/>
      </w:pPr>
      <w:r>
        <w:rPr>
          <w:rStyle w:val="FootnoteReference"/>
        </w:rPr>
        <w:footnoteRef/>
      </w:r>
      <w:r>
        <w:t xml:space="preserve">
          <w:r>
            <w:t xml:space="preserve">
              <w:r>
                <w:t xml:space="preserve"> BDAG, s.v. “ἁρπαγή.”</w:t>
              </w:r>
            </w:t>
          </w:r>
        </w:t>
      </w:r>
    </w:p>
  </w:footnote>
  <w:footnote w:id="23840">
    <w:p>
      <w:pPr>
        <w:pStyle w:val="FootnoteText"/>
      </w:pPr>
      <w:r>
        <w:rPr>
          <w:rStyle w:val="FootnoteReference"/>
        </w:rPr>
        <w:footnoteRef/>
      </w:r>
      <w:r>
        <w:t xml:space="preserve">
          <w:r>
            <w:t xml:space="preserve">
              <w:r>
                <w:t xml:space="preserve"> Skip Moen, “The Assumed Trinity: A look at Philippians 2:6” (Oct. 19, 2014), skipmoen.com.</w:t>
              </w:r>
            </w:t>
          </w:r>
        </w:t>
      </w:r>
    </w:p>
  </w:footnote>
  <w:footnote w:id="14781">
    <w:p>
      <w:pPr>
        <w:pStyle w:val="FootnoteText"/>
      </w:pPr>
      <w:r>
        <w:rPr>
          <w:rStyle w:val="FootnoteReference"/>
        </w:rPr>
        <w:footnoteRef/>
      </w:r>
      <w:r>
        <w:t xml:space="preserve">
          <w:r>
            <w:t xml:space="preserve">
              <w:r>
                <w:t xml:space="preserve"> Justo Gonzalez, </w:t>
              </w:r>
              <w:r>
                <w:rPr>
                  <w:i/>
                </w:rPr>
                <w:t xml:space="preserve">A History of Christian Thought</w:t>
              </w:r>
              <w:r>
                <w:t xml:space="preserve">, 222-23.</w:t>
              </w:r>
            </w:t>
          </w:r>
        </w:t>
      </w:r>
    </w:p>
  </w:footnote>
  <w:footnote w:id="29163">
    <w:p>
      <w:pPr>
        <w:pStyle w:val="FootnoteText"/>
      </w:pPr>
      <w:r>
        <w:rPr>
          <w:rStyle w:val="FootnoteReference"/>
        </w:rPr>
        <w:footnoteRef/>
      </w:r>
      <w:r>
        <w:t xml:space="preserve">
          <w:r>
            <w:t xml:space="preserve">
              <w:r>
                <w:t xml:space="preserve"> Wren-Lewis quoted in John A. T. Robinson, </w:t>
              </w:r>
              <w:r>
                <w:rPr>
                  <w:i/>
                </w:rPr>
                <w:t xml:space="preserve">Honest to God</w:t>
              </w:r>
              <w:r>
                <w:t xml:space="preserve">, 66.</w:t>
              </w:r>
            </w:t>
          </w:r>
        </w:t>
      </w:r>
    </w:p>
  </w:footnote>
  <w:footnote w:id="19515">
    <w:p>
      <w:pPr>
        <w:pStyle w:val="FootnoteText"/>
      </w:pPr>
      <w:r>
        <w:rPr>
          <w:rStyle w:val="FootnoteReference"/>
        </w:rPr>
        <w:footnoteRef/>
      </w:r>
      <w:r>
        <w:t xml:space="preserve">
          <w:r>
            <w:t xml:space="preserve">
              <w:r>
                <w:t xml:space="preserve"> Walter Elwell, </w:t>
              </w:r>
              <w:r>
                <w:rPr>
                  <w:i/>
                </w:rPr>
                <w:t xml:space="preserve">Evangelical Dictionary of Theology</w:t>
              </w:r>
              <w:r>
                <w:t xml:space="preserve">, 600-01.</w:t>
              </w:r>
            </w:t>
          </w:r>
        </w:t>
      </w:r>
    </w:p>
  </w:footnote>
  <w:footnote w:id="17050">
    <w:p>
      <w:pPr>
        <w:pStyle w:val="FootnoteText"/>
      </w:pPr>
      <w:r>
        <w:rPr>
          <w:rStyle w:val="FootnoteReference"/>
        </w:rPr>
        <w:footnoteRef/>
      </w:r>
      <w:r>
        <w:t xml:space="preserve">
          <w:r>
            <w:t xml:space="preserve">
              <w:r>
                <w:t xml:space="preserve"> Friberg, </w:t>
              </w:r>
              <w:r>
                <w:rPr>
                  <w:i/>
                </w:rPr>
                <w:t xml:space="preserve">Analytical Lexicon</w:t>
              </w:r>
              <w:r>
                <w:t xml:space="preserve">, s.v. “ὑπερυψόω.”</w:t>
              </w:r>
            </w:t>
          </w:r>
        </w:t>
      </w:r>
    </w:p>
  </w:footnote>
  <w:footnote w:id="32656">
    <w:p>
      <w:pPr>
        <w:pStyle w:val="FootnoteText"/>
      </w:pPr>
      <w:r>
        <w:rPr>
          <w:rStyle w:val="FootnoteReference"/>
        </w:rPr>
        <w:footnoteRef/>
      </w:r>
      <w:r>
        <w:t xml:space="preserve">
          <w:r>
            <w:t xml:space="preserve">
              <w:r>
                <w:t xml:space="preserve"> Louw and Nida </w:t>
              </w:r>
              <w:r>
                <w:rPr>
                  <w:i/>
                </w:rPr>
                <w:t xml:space="preserve">Greek-English Lexicon</w:t>
              </w:r>
              <w:r>
                <w:t xml:space="preserve">, s.v. “ὑπερυψόω.”</w:t>
              </w:r>
            </w:t>
          </w:r>
        </w:t>
      </w:r>
    </w:p>
  </w:footnote>
  <w:footnote w:id="22919">
    <w:p>
      <w:pPr>
        <w:pStyle w:val="FootnoteText"/>
      </w:pPr>
      <w:r>
        <w:rPr>
          <w:rStyle w:val="FootnoteReference"/>
        </w:rPr>
        <w:footnoteRef/>
      </w:r>
      <w:r>
        <w:t xml:space="preserve">
          <w:r>
            <w:t xml:space="preserve">
              <w:r>
                <w:t xml:space="preserve"> BDAG </w:t>
              </w:r>
              <w:r>
                <w:rPr>
                  <w:i/>
                </w:rPr>
                <w:t xml:space="preserve">Greek-English Lexicon</w:t>
              </w:r>
              <w:r>
                <w:t xml:space="preserve">, s.v. “ὑπερυψόω.”</w:t>
              </w:r>
            </w:t>
          </w:r>
        </w:t>
      </w:r>
    </w:p>
  </w:footnote>
  <w:footnote w:id="23261">
    <w:p>
      <w:pPr>
        <w:pStyle w:val="FootnoteText"/>
      </w:pPr>
      <w:r>
        <w:rPr>
          <w:rStyle w:val="FootnoteReference"/>
        </w:rPr>
        <w:footnoteRef/>
      </w:r>
      <w:r>
        <w:t xml:space="preserve">
          <w:r>
            <w:t xml:space="preserve">
              <w:r>
                <w:t xml:space="preserve"> William Hendriksen,</w:t>
              </w:r>
              <w:r>
                <w:rPr>
                  <w:i/>
                </w:rPr>
                <w:t xml:space="preserve"> New Testament Commentary: Philippians</w:t>
              </w:r>
              <w:r>
                <w:t xml:space="preserve">, 113.</w:t>
              </w:r>
            </w:t>
          </w:r>
        </w:t>
      </w:r>
    </w:p>
  </w:footnote>
  <w:footnote w:id="25766">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 107.</w:t>
              </w:r>
            </w:t>
          </w:r>
        </w:t>
      </w:r>
    </w:p>
  </w:footnote>
  <w:footnote w:id="23856">
    <w:p>
      <w:pPr>
        <w:pStyle w:val="FootnoteText"/>
      </w:pPr>
      <w:r>
        <w:rPr>
          <w:rStyle w:val="FootnoteReference"/>
        </w:rPr>
        <w:footnoteRef/>
      </w:r>
      <w:r>
        <w:t xml:space="preserve">
          <w:r>
            <w:t xml:space="preserve">
              <w:r>
                <w:t xml:space="preserve"> Hawthorne and Martin [WBC], 99.</w:t>
              </w:r>
            </w:t>
          </w:r>
        </w:t>
      </w:r>
    </w:p>
  </w:footnote>
  <w:footnote w:id="32494">
    <w:p>
      <w:pPr>
        <w:pStyle w:val="FootnoteText"/>
      </w:pPr>
      <w:r>
        <w:rPr>
          <w:rStyle w:val="FootnoteReference"/>
        </w:rPr>
        <w:footnoteRef/>
      </w:r>
      <w:r>
        <w:t xml:space="preserve">
          <w:r>
            <w:t xml:space="preserve">
              <w:r>
                <w:t xml:space="preserve"> Jac J. Müller, </w:t>
              </w:r>
              <w:r>
                <w:rPr>
                  <w:i/>
                </w:rPr>
                <w:t xml:space="preserve">The Epistle of Paul to the Philippians and to Philemon</w:t>
              </w:r>
              <w:r>
                <w:t xml:space="preserve"> [NICNT], 91.</w:t>
              </w:r>
            </w:t>
          </w:r>
        </w:t>
      </w:r>
    </w:p>
  </w:footnote>
  <w:footnote w:id="26106">
    <w:p>
      <w:pPr>
        <w:pStyle w:val="FootnoteText"/>
      </w:pPr>
      <w:r>
        <w:rPr>
          <w:rStyle w:val="FootnoteReference"/>
        </w:rPr>
        <w:footnoteRef/>
      </w:r>
      <w:r>
        <w:t xml:space="preserve">
          <w:r>
            <w:t xml:space="preserve">
              <w:r>
                <w:t xml:space="preserve"> R. C. H. Lenski, </w:t>
              </w:r>
              <w:r>
                <w:rPr>
                  <w:i/>
                </w:rPr>
                <w:t xml:space="preserve">Galatians, Ephesians, Philippians</w:t>
              </w:r>
              <w:r>
                <w:t xml:space="preserve">, 800.</w:t>
              </w:r>
            </w:t>
          </w:r>
        </w:t>
      </w:r>
    </w:p>
  </w:footnote>
  <w:footnote w:id="15442">
    <w:p>
      <w:pPr>
        <w:pStyle w:val="FootnoteText"/>
      </w:pPr>
      <w:r>
        <w:rPr>
          <w:rStyle w:val="FootnoteReference"/>
        </w:rPr>
        <w:footnoteRef/>
      </w:r>
      <w:r>
        <w:t xml:space="preserve">
          <w:r>
            <w:t xml:space="preserve">
              <w:r>
                <w:t xml:space="preserve"> Lenski, 205.</w:t>
              </w:r>
            </w:t>
          </w:r>
        </w:t>
      </w:r>
    </w:p>
  </w:footnote>
  <w:footnote w:id="30500">
    <w:p>
      <w:pPr>
        <w:pStyle w:val="FootnoteText"/>
      </w:pPr>
      <w:r>
        <w:rPr>
          <w:rStyle w:val="FootnoteReference"/>
        </w:rPr>
        <w:footnoteRef/>
      </w:r>
      <w:r>
        <w:t xml:space="preserve">
          <w:r>
            <w:t xml:space="preserve">
              <w:r>
                <w:t xml:space="preserve"> BDAG, s.v. “γογγυσμός.”</w:t>
              </w:r>
            </w:t>
          </w:r>
        </w:t>
      </w:r>
    </w:p>
  </w:footnote>
  <w:footnote w:id="14163">
    <w:p>
      <w:pPr>
        <w:pStyle w:val="FootnoteText"/>
      </w:pPr>
      <w:r>
        <w:rPr>
          <w:rStyle w:val="FootnoteReference"/>
        </w:rPr>
        <w:footnoteRef/>
      </w:r>
      <w:r>
        <w:t xml:space="preserve">
          <w:r>
            <w:t xml:space="preserve">
              <w:r>
                <w:t xml:space="preserve"> Friberg, </w:t>
              </w:r>
              <w:r>
                <w:rPr>
                  <w:i/>
                </w:rPr>
                <w:t xml:space="preserve">Analytical Lexicon</w:t>
              </w:r>
              <w:r>
                <w:t xml:space="preserve">, s.v. “γογγυσμός.”</w:t>
              </w:r>
            </w:t>
          </w:r>
        </w:t>
      </w:r>
    </w:p>
  </w:footnote>
  <w:footnote w:id="31227">
    <w:p>
      <w:pPr>
        <w:pStyle w:val="FootnoteText"/>
      </w:pPr>
      <w:r>
        <w:rPr>
          <w:rStyle w:val="FootnoteReference"/>
        </w:rPr>
        <w:footnoteRef/>
      </w:r>
      <w:r>
        <w:t xml:space="preserve">
          <w:r>
            <w:t xml:space="preserve">
              <w:r>
                <w:t xml:space="preserve"> Hawthorne and Martin, </w:t>
              </w:r>
              <w:r>
                <w:rPr>
                  <w:i/>
                </w:rPr>
                <w:t xml:space="preserve">Philippians</w:t>
              </w:r>
              <w:r>
                <w:t xml:space="preserve"> [WBC], 146.</w:t>
              </w:r>
            </w:t>
          </w:r>
        </w:t>
      </w:r>
    </w:p>
  </w:footnote>
  <w:footnote w:id="32312">
    <w:p>
      <w:pPr>
        <w:pStyle w:val="FootnoteText"/>
      </w:pPr>
      <w:r>
        <w:rPr>
          <w:rStyle w:val="FootnoteReference"/>
        </w:rPr>
        <w:footnoteRef/>
      </w:r>
      <w:r>
        <w:t xml:space="preserve">
          <w:r>
            <w:t xml:space="preserve">
              <w:r>
                <w:t xml:space="preserve"> Bengel and Kennedy, </w:t>
              </w:r>
              <w:r>
                <w:rPr>
                  <w:i/>
                </w:rPr>
                <w:t xml:space="preserve">Expositor’s Greek Testament</w:t>
              </w:r>
              <w:r>
                <w:t xml:space="preserve">, 3:442.</w:t>
              </w:r>
            </w:t>
          </w:r>
        </w:t>
      </w:r>
    </w:p>
  </w:footnote>
  <w:footnote w:id="18916">
    <w:p>
      <w:pPr>
        <w:pStyle w:val="FootnoteText"/>
      </w:pPr>
      <w:r>
        <w:rPr>
          <w:rStyle w:val="FootnoteReference"/>
        </w:rPr>
        <w:footnoteRef/>
      </w:r>
      <w:r>
        <w:t xml:space="preserve">
          <w:r>
            <w:t xml:space="preserve">
              <w:r>
                <w:t xml:space="preserve"> Vincent, </w:t>
              </w:r>
              <w:r>
                <w:rPr>
                  <w:i/>
                </w:rPr>
                <w:t xml:space="preserve">Philippians and Philemon</w:t>
              </w:r>
              <w:r>
                <w:t xml:space="preserve"> [ICC], 69.</w:t>
              </w:r>
            </w:t>
          </w:r>
        </w:t>
      </w:r>
    </w:p>
  </w:footnote>
  <w:footnote w:id="13181">
    <w:p>
      <w:pPr>
        <w:pStyle w:val="FootnoteText"/>
      </w:pPr>
      <w:r>
        <w:rPr>
          <w:rStyle w:val="FootnoteReference"/>
        </w:rPr>
        <w:footnoteRef/>
      </w:r>
      <w:r>
        <w:t xml:space="preserve">
          <w:r>
            <w:t xml:space="preserve">
              <w:r>
                <w:t xml:space="preserve"> Scott, </w:t>
              </w:r>
              <w:r>
                <w:rPr>
                  <w:i/>
                </w:rPr>
                <w:t xml:space="preserve">The Interpreter’s Bible</w:t>
              </w:r>
              <w:r>
                <w:t xml:space="preserve">, 66.</w:t>
              </w:r>
            </w:t>
          </w:r>
        </w:t>
      </w:r>
    </w:p>
  </w:footnote>
  <w:footnote w:id="24341">
    <w:p>
      <w:pPr>
        <w:pStyle w:val="FootnoteText"/>
      </w:pPr>
      <w:r>
        <w:rPr>
          <w:rStyle w:val="FootnoteReference"/>
        </w:rPr>
        <w:footnoteRef/>
      </w:r>
      <w:r>
        <w:t xml:space="preserve">
          <w:r>
            <w:t xml:space="preserve">
              <w:r>
                <w:t xml:space="preserve"> Hendriksen, </w:t>
              </w:r>
              <w:r>
                <w:rPr>
                  <w:i/>
                </w:rPr>
                <w:t xml:space="preserve">New Testament Commentary: Philippians</w:t>
              </w:r>
              <w:r>
                <w:t xml:space="preserve">, 125-26.</w:t>
              </w:r>
            </w:t>
          </w:r>
        </w:t>
      </w:r>
    </w:p>
  </w:footnote>
  <w:footnote w:id="13949">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807.</w:t>
              </w:r>
            </w:t>
          </w:r>
        </w:t>
      </w:r>
    </w:p>
  </w:footnote>
  <w:footnote w:id="27516">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(Revised) [WBC], 148-149. Hawthorne and Martin make all these points.</w:t>
              </w:r>
            </w:t>
          </w:r>
        </w:t>
      </w:r>
    </w:p>
  </w:footnote>
  <w:footnote w:id="16463">
    <w:p>
      <w:pPr>
        <w:pStyle w:val="FootnoteText"/>
      </w:pPr>
      <w:r>
        <w:rPr>
          <w:rStyle w:val="FootnoteReference"/>
        </w:rPr>
        <w:footnoteRef/>
      </w:r>
      <w:r>
        <w:t xml:space="preserve">
          <w:r>
            <w:t xml:space="preserve">
              <w:r>
                <w:t xml:space="preserve"> Hansen, </w:t>
              </w:r>
              <w:r>
                <w:rPr>
                  <w:i/>
                </w:rPr>
                <w:t xml:space="preserve">The Letter to the Philippians</w:t>
              </w:r>
              <w:r>
                <w:t xml:space="preserve"> [PNTC], 193.</w:t>
              </w:r>
            </w:t>
          </w:r>
        </w:t>
      </w:r>
    </w:p>
  </w:footnote>
  <w:footnote w:id="21336">
    <w:p>
      <w:pPr>
        <w:pStyle w:val="FootnoteText"/>
      </w:pPr>
      <w:r>
        <w:rPr>
          <w:rStyle w:val="FootnoteReference"/>
        </w:rPr>
        <w:footnoteRef/>
      </w:r>
      <w:r>
        <w:t xml:space="preserve">
          <w:r>
            <w:t xml:space="preserve">
              <w:r>
                <w:t xml:space="preserve"> BDAG, s.v. “εὐψυχέω.”</w:t>
              </w:r>
            </w:t>
          </w:r>
        </w:t>
      </w:r>
    </w:p>
  </w:footnote>
  <w:footnote w:id="12621">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28132">
    <w:p>
      <w:pPr>
        <w:pStyle w:val="FootnoteText"/>
      </w:pPr>
      <w:r>
        <w:rPr>
          <w:rStyle w:val="FootnoteReference"/>
        </w:rPr>
        <w:footnoteRef/>
      </w:r>
      <w:r>
        <w:t xml:space="preserve">
          <w:r>
            <w:t xml:space="preserve">
              <w:r>
                <w:t xml:space="preserve"> Cf. R. C. H. Lenski, </w:t>
              </w:r>
              <w:r>
                <w:rPr>
                  <w:i/>
                </w:rPr>
                <w:t xml:space="preserve">Galatians, Ephesians, Philippians</w:t>
              </w:r>
              <w:r>
                <w:t xml:space="preserve">, 826; A. T. Robertson, </w:t>
              </w:r>
              <w:r>
                <w:rPr>
                  <w:i/>
                </w:rPr>
                <w:t xml:space="preserve">Word Pictures in the New Testament</w:t>
              </w:r>
              <w:r>
                <w:t xml:space="preserve">, 4:451.</w:t>
              </w:r>
            </w:t>
          </w:r>
        </w:t>
      </w:r>
    </w:p>
  </w:footnote>
  <w:footnote w:id="11186">
    <w:p>
      <w:pPr>
        <w:pStyle w:val="FootnoteText"/>
      </w:pPr>
      <w:r>
        <w:rPr>
          <w:rStyle w:val="FootnoteReference"/>
        </w:rPr>
        <w:footnoteRef/>
      </w:r>
      <w:r>
        <w:t xml:space="preserve">
          <w:r>
            <w:t xml:space="preserve">
              <w:r>
                <w:t xml:space="preserve"> Marvin R. Vincent, </w:t>
              </w:r>
              <w:r>
                <w:rPr>
                  <w:i/>
                </w:rPr>
                <w:t xml:space="preserve">Philippians, Philemon</w:t>
              </w:r>
              <w:r>
                <w:t xml:space="preserve"> [ICC], 90.</w:t>
              </w:r>
            </w:t>
          </w:r>
        </w:t>
      </w:r>
    </w:p>
  </w:footnote>
  <w:footnote w:id="16713">
    <w:p>
      <w:pPr>
        <w:pStyle w:val="FootnoteText"/>
      </w:pPr>
      <w:r>
        <w:rPr>
          <w:rStyle w:val="FootnoteReference"/>
        </w:rPr>
        <w:footnoteRef/>
      </w:r>
      <w:r>
        <w:t xml:space="preserve">
          <w:r>
            <w:t xml:space="preserve">
              <w:r>
                <w:t xml:space="preserve"> Kenneth S. Wuest, </w:t>
              </w:r>
              <w:r>
                <w:rPr>
                  <w:i/>
                </w:rPr>
                <w:t xml:space="preserve">New Testament</w:t>
              </w:r>
              <w:r>
                <w:t xml:space="preserve">, 465.</w:t>
              </w:r>
            </w:t>
          </w:r>
        </w:t>
      </w:r>
    </w:p>
  </w:footnote>
  <w:footnote w:id="18400">
    <w:p>
      <w:pPr>
        <w:pStyle w:val="FootnoteText"/>
      </w:pPr>
      <w:r>
        <w:rPr>
          <w:rStyle w:val="FootnoteReference"/>
        </w:rPr>
        <w:footnoteRef/>
      </w:r>
      <w:r>
        <w:t xml:space="preserve">
          <w:r>
            <w:t xml:space="preserve">
              <w:r>
                <w:t xml:space="preserve"> See Thayer; BDAG; Friberg.</w:t>
              </w:r>
            </w:t>
          </w:r>
        </w:t>
      </w:r>
    </w:p>
  </w:footnote>
  <w:footnote w:id="25919">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474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2858">
    <w:p>
      <w:pPr>
        <w:pStyle w:val="FootnoteText"/>
      </w:pPr>
      <w:r>
        <w:rPr>
          <w:rStyle w:val="FootnoteReference"/>
        </w:rPr>
        <w:footnoteRef/>
      </w:r>
      <w:r>
        <w:t xml:space="preserve">
          <w:r>
            <w:t xml:space="preserve">
              <w:r>
                <w:t xml:space="preserve"> Fee, </w:t>
              </w:r>
              <w:r>
                <w:rPr>
                  <w:i/>
                </w:rPr>
                <w:t xml:space="preserve">Paul’s Letter to the Philippians</w:t>
              </w:r>
              <w:r>
                <w:t xml:space="preserve"> [NICNT], 302-03.</w:t>
              </w:r>
            </w:t>
          </w:r>
        </w:t>
      </w:r>
    </w:p>
  </w:footnote>
  <w:footnote w:id="18197">
    <w:p>
      <w:pPr>
        <w:pStyle w:val="FootnoteText"/>
      </w:pPr>
      <w:r>
        <w:rPr>
          <w:rStyle w:val="FootnoteReference"/>
        </w:rPr>
        <w:footnoteRef/>
      </w:r>
      <w:r>
        <w:t xml:space="preserve">
          <w:r>
            <w:t xml:space="preserve">
              <w:r>
                <w:t xml:space="preserve"> Peter O’Brien, The Epistle to the Philippians [NIGTC].</w:t>
              </w:r>
            </w:t>
          </w:r>
        </w:t>
      </w:r>
    </w:p>
  </w:footnote>
  <w:footnote w:id="13212">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3030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22082">
    <w:p>
      <w:pPr>
        <w:pStyle w:val="FootnoteText"/>
      </w:pPr>
      <w:r>
        <w:rPr>
          <w:rStyle w:val="FootnoteReference"/>
        </w:rPr>
        <w:footnoteRef/>
      </w:r>
      <w:r>
        <w:t xml:space="preserve">
          <w:r>
            <w:t xml:space="preserve">
              <w:r>
                <w:t xml:space="preserve"> Gerald Hawthorne and Ralph Martin, </w:t>
              </w:r>
              <w:r>
                <w:rPr>
                  <w:i/>
                </w:rPr>
                <w:t xml:space="preserve">Philippians</w:t>
              </w:r>
              <w:r>
                <w:t xml:space="preserve"> [WBC].</w:t>
              </w:r>
            </w:t>
          </w:r>
        </w:t>
      </w:r>
    </w:p>
  </w:footnote>
  <w:footnote w:id="22614">
    <w:p>
      <w:pPr>
        <w:pStyle w:val="FootnoteText"/>
      </w:pPr>
      <w:r>
        <w:rPr>
          <w:rStyle w:val="FootnoteReference"/>
        </w:rPr>
        <w:footnoteRef/>
      </w:r>
      <w:r>
        <w:t xml:space="preserve">
          <w:r>
            <w:t xml:space="preserve">
              <w:r>
                <w:t xml:space="preserve"> BDAG </w:t>
              </w:r>
              <w:r>
                <w:rPr>
                  <w:i/>
                </w:rPr>
                <w:t xml:space="preserve">Greek-English Lexicon</w:t>
              </w:r>
              <w:r>
                <w:t xml:space="preserve">, s.v. “γνῶσις,” “γινώσκω.”</w:t>
              </w:r>
            </w:t>
          </w:r>
        </w:t>
      </w:r>
    </w:p>
  </w:footnote>
  <w:footnote w:id="1981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4:453.</w:t>
              </w:r>
            </w:t>
          </w:r>
        </w:t>
      </w:r>
    </w:p>
  </w:footnote>
  <w:footnote w:id="17491">
    <w:p>
      <w:pPr>
        <w:pStyle w:val="FootnoteText"/>
      </w:pPr>
      <w:r>
        <w:rPr>
          <w:rStyle w:val="FootnoteReference"/>
        </w:rPr>
        <w:footnoteRef/>
      </w:r>
      <w:r>
        <w:t xml:space="preserve">
          <w:r>
            <w:t xml:space="preserve">
              <w:r>
                <w:t xml:space="preserve"> Nicoll, </w:t>
              </w:r>
              <w:r>
                <w:rPr>
                  <w:i/>
                </w:rPr>
                <w:t xml:space="preserve">Expositor’s Greek Testament</w:t>
              </w:r>
              <w:r>
                <w:t xml:space="preserve">, 3:453.</w:t>
              </w:r>
            </w:t>
          </w:r>
        </w:t>
      </w:r>
    </w:p>
  </w:footnote>
  <w:footnote w:id="17543">
    <w:p>
      <w:pPr>
        <w:pStyle w:val="FootnoteText"/>
      </w:pPr>
      <w:r>
        <w:rPr>
          <w:rStyle w:val="FootnoteReference"/>
        </w:rPr>
        <w:footnoteRef/>
      </w:r>
      <w:r>
        <w:t xml:space="preserve">
          <w:r>
            <w:t xml:space="preserve">
              <w:r>
                <w:t xml:space="preserve"> J. B. Lightfoot, </w:t>
              </w:r>
              <w:r>
                <w:rPr>
                  <w:i/>
                </w:rPr>
                <w:t xml:space="preserve">St. Paul’s Epistle to the Philippians</w:t>
              </w:r>
              <w:r>
                <w:t xml:space="preserve">, 149.</w:t>
              </w:r>
            </w:t>
          </w:r>
        </w:t>
      </w:r>
    </w:p>
  </w:footnote>
  <w:footnote w:id="12549">
    <w:p>
      <w:pPr>
        <w:pStyle w:val="FootnoteText"/>
      </w:pPr>
      <w:r>
        <w:rPr>
          <w:rStyle w:val="FootnoteReference"/>
        </w:rPr>
        <w:footnoteRef/>
      </w:r>
      <w:r>
        <w:t xml:space="preserve">
          <w:r>
            <w:t xml:space="preserve">
              <w:r>
                <w:t xml:space="preserve"> Lenski, </w:t>
              </w:r>
              <w:r>
                <w:rPr>
                  <w:i/>
                </w:rPr>
                <w:t xml:space="preserve">St. Paul’s Epistles to the Galatians, Ephesians, Philippians</w:t>
              </w:r>
              <w:r>
                <w:t xml:space="preserve">, 842.</w:t>
              </w:r>
            </w:t>
          </w:r>
        </w:t>
      </w:r>
    </w:p>
  </w:footnote>
  <w:footnote w:id="14570">
    <w:p>
      <w:pPr>
        <w:pStyle w:val="FootnoteText"/>
      </w:pPr>
      <w:r>
        <w:rPr>
          <w:rStyle w:val="FootnoteReference"/>
        </w:rPr>
        <w:footnoteRef/>
      </w:r>
      <w:r>
        <w:t xml:space="preserve">
          <w:r>
            <w:t xml:space="preserve">
              <w:r>
                <w:t xml:space="preserve"> O’Brien, </w:t>
              </w:r>
              <w:r>
                <w:rPr>
                  <w:i/>
                </w:rPr>
                <w:t xml:space="preserve">The Epistle to the Philippians</w:t>
              </w:r>
              <w:r>
                <w:t xml:space="preserve"> [NIGTC], 410.</w:t>
              </w:r>
            </w:t>
          </w:r>
        </w:t>
      </w:r>
    </w:p>
  </w:footnote>
  <w:footnote w:id="26514">
    <w:p>
      <w:pPr>
        <w:pStyle w:val="FootnoteText"/>
      </w:pPr>
      <w:r>
        <w:rPr>
          <w:rStyle w:val="FootnoteReference"/>
        </w:rPr>
        <w:footnoteRef/>
      </w:r>
      <w:r>
        <w:t xml:space="preserve">
          <w:r>
            <w:t xml:space="preserve">
              <w:r>
                <w:t xml:space="preserve"> Gerald F. Hawthorne and Ralph P. Martin, Philippians [WBC], 132.</w:t>
              </w:r>
            </w:t>
          </w:r>
        </w:t>
      </w:r>
    </w:p>
  </w:footnote>
  <w:footnote w:id="24559">
    <w:p>
      <w:pPr>
        <w:pStyle w:val="FootnoteText"/>
      </w:pPr>
      <w:r>
        <w:rPr>
          <w:rStyle w:val="FootnoteReference"/>
        </w:rPr>
        <w:footnoteRef/>
      </w:r>
      <w:r>
        <w:t xml:space="preserve">
          <w:r>
            <w:t xml:space="preserve">
              <w:r>
                <w:t xml:space="preserve"> Gordon Fee, Paul’s Letter to the Philippians [NICNT], 309.</w:t>
              </w:r>
            </w:t>
          </w:r>
        </w:t>
      </w:r>
    </w:p>
  </w:footnote>
  <w:footnote w:id="27718">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21776">
    <w:p>
      <w:pPr>
        <w:pStyle w:val="FootnoteText"/>
      </w:pPr>
      <w:r>
        <w:rPr>
          <w:rStyle w:val="FootnoteReference"/>
        </w:rPr>
        <w:footnoteRef/>
      </w:r>
      <w:r>
        <w:t xml:space="preserve">
          <w:r>
            <w:t xml:space="preserve">
              <w:r>
                <w:t xml:space="preserve"> Louw and Nida, s.v. “ἐπεκτείνομαι.”</w:t>
              </w:r>
            </w:t>
          </w:r>
        </w:t>
      </w:r>
    </w:p>
  </w:footnote>
  <w:footnote w:id="22099">
    <w:p>
      <w:pPr>
        <w:pStyle w:val="FootnoteText"/>
      </w:pPr>
      <w:r>
        <w:rPr>
          <w:rStyle w:val="FootnoteReference"/>
        </w:rPr>
        <w:footnoteRef/>
      </w:r>
      <w:r>
        <w:t xml:space="preserve">
          <w:r>
            <w:t xml:space="preserve">
              <w:r>
                <w:t xml:space="preserve"> BDAG, s.v. “ἐπεκτείνομαι.”</w:t>
              </w:r>
            </w:t>
          </w:r>
        </w:t>
      </w:r>
    </w:p>
  </w:footnote>
  <w:footnote w:id="16495">
    <w:p>
      <w:pPr>
        <w:pStyle w:val="FootnoteText"/>
      </w:pPr>
      <w:r>
        <w:rPr>
          <w:rStyle w:val="FootnoteReference"/>
        </w:rPr>
        <w:footnoteRef/>
      </w:r>
      <w:r>
        <w:t xml:space="preserve">
          <w:r>
            <w:t xml:space="preserve">
              <w:r>
                <w:t xml:space="preserve"> Cf. Gerald F. Hawthorne, </w:t>
              </w:r>
              <w:r>
                <w:rPr>
                  <w:i/>
                </w:rPr>
                <w:t xml:space="preserve">Philippians</w:t>
              </w:r>
              <w:r>
                <w:t xml:space="preserve"> [WBC]; H. Cassirer, </w:t>
              </w:r>
              <w:r>
                <w:rPr>
                  <w:i/>
                </w:rPr>
                <w:t xml:space="preserve">God’s New Covenant</w:t>
              </w:r>
              <w:r>
                <w:t xml:space="preserve">.</w:t>
              </w:r>
            </w:t>
          </w:r>
        </w:t>
      </w:r>
    </w:p>
  </w:footnote>
  <w:footnote w:id="12087">
    <w:p>
      <w:pPr>
        <w:pStyle w:val="FootnoteText"/>
      </w:pPr>
      <w:r>
        <w:rPr>
          <w:rStyle w:val="FootnoteReference"/>
        </w:rPr>
        <w:footnoteRef/>
      </w:r>
      <w:r>
        <w:t xml:space="preserve">
          <w:r>
            <w:t xml:space="preserve">
              <w:r>
                <w:t xml:space="preserve"> N.T. Wright, </w:t>
              </w:r>
              <w:r>
                <w:rPr>
                  <w:i/>
                </w:rPr>
                <w:t xml:space="preserve">Surprised by Hope</w:t>
              </w:r>
              <w:r>
                <w:t xml:space="preserve">, 100.</w:t>
              </w:r>
            </w:t>
          </w:r>
        </w:t>
      </w:r>
    </w:p>
  </w:footnote>
  <w:footnote w:id="18345">
    <w:p>
      <w:pPr>
        <w:pStyle w:val="FootnoteText"/>
      </w:pPr>
      <w:r>
        <w:rPr>
          <w:rStyle w:val="FootnoteReference"/>
        </w:rPr>
        <w:footnoteRef/>
      </w:r>
      <w:r>
        <w:t xml:space="preserve">
          <w:r>
            <w:t xml:space="preserve">
              <w:r>
                <w:t xml:space="preserve"> Cf. G. F. Hawthorne, </w:t>
              </w:r>
              <w:r>
                <w:rPr>
                  <w:i/>
                </w:rPr>
                <w:t xml:space="preserve">Philippians</w:t>
              </w:r>
              <w:r>
                <w:t xml:space="preserve"> [WBC].</w:t>
              </w:r>
            </w:t>
          </w:r>
        </w:t>
      </w:r>
    </w:p>
  </w:footnote>
  <w:footnote w:id="16780">
    <w:p>
      <w:pPr>
        <w:pStyle w:val="FootnoteText"/>
      </w:pPr>
      <w:r>
        <w:rPr>
          <w:rStyle w:val="FootnoteReference"/>
        </w:rPr>
        <w:footnoteRef/>
      </w:r>
      <w:r>
        <w:t xml:space="preserve">
          <w:r>
            <w:t xml:space="preserve">
              <w:r>
                <w:t xml:space="preserve"> O’Brien, </w:t>
              </w:r>
              <w:r>
                <w:rPr>
                  <w:i/>
                </w:rPr>
                <w:t xml:space="preserve">The Epistle to the Philippians</w:t>
              </w:r>
              <w:r>
                <w:t xml:space="preserve"> [NIGTC].</w:t>
              </w:r>
            </w:t>
          </w:r>
        </w:t>
      </w:r>
    </w:p>
  </w:footnote>
  <w:footnote w:id="20244">
    <w:p>
      <w:pPr>
        <w:pStyle w:val="FootnoteText"/>
      </w:pPr>
      <w:r>
        <w:rPr>
          <w:rStyle w:val="FootnoteReference"/>
        </w:rPr>
        <w:footnoteRef/>
      </w:r>
      <w:r>
        <w:t xml:space="preserve">
          <w:r>
            <w:t xml:space="preserve">
              <w:r>
                <w:t xml:space="preserve"> Loh and Nida, </w:t>
              </w:r>
              <w:r>
                <w:rPr>
                  <w:i/>
                </w:rPr>
                <w:t xml:space="preserve">A Translator’s Handbook on Paul’s Letter to the Philippians</w:t>
              </w:r>
              <w:r>
                <w:t xml:space="preserve">, 42.</w:t>
              </w:r>
            </w:t>
          </w:r>
        </w:t>
      </w:r>
    </w:p>
  </w:footnote>
  <w:footnote w:id="16937">
    <w:p>
      <w:pPr>
        <w:pStyle w:val="FootnoteText"/>
      </w:pPr>
      <w:r>
        <w:rPr>
          <w:rStyle w:val="FootnoteReference"/>
        </w:rPr>
        <w:footnoteRef/>
      </w:r>
      <w:r>
        <w:t xml:space="preserve">
          <w:r>
            <w:t xml:space="preserve">
              <w:r>
                <w:t xml:space="preserve"> J. R. Mantey, Author of </w:t>
              </w:r>
              <w:r>
                <w:rPr>
                  <w:i/>
                </w:rPr>
                <w:t xml:space="preserve">A Manuel Grammar of the Greek New Testament,</w:t>
              </w:r>
              <w:r>
                <w:t xml:space="preserve"> endorsement on the flyleaf of the Williams New Testament.</w:t>
              </w:r>
            </w:t>
          </w:r>
        </w:t>
      </w:r>
    </w:p>
  </w:footnote>
  <w:footnote w:id="31272">
    <w:p>
      <w:pPr>
        <w:pStyle w:val="FootnoteText"/>
      </w:pPr>
      <w:r>
        <w:rPr>
          <w:rStyle w:val="FootnoteReference"/>
        </w:rPr>
        <w:footnoteRef/>
      </w:r>
      <w:r>
        <w:t xml:space="preserve">
          <w:r>
            <w:t xml:space="preserve">
              <w:r>
                <w:t xml:space="preserve"> Loh and Nida, </w:t>
              </w:r>
              <w:r>
                <w:rPr>
                  <w:i/>
                </w:rPr>
                <w:t xml:space="preserve">Translator’s Handbook</w:t>
              </w:r>
              <w:r>
                <w:t xml:space="preserve">.</w:t>
              </w:r>
            </w:t>
          </w:r>
        </w:t>
      </w:r>
    </w:p>
  </w:footnote>
  <w:footnote w:id="24492">
    <w:p>
      <w:pPr>
        <w:pStyle w:val="FootnoteText"/>
      </w:pPr>
      <w:r>
        <w:rPr>
          <w:rStyle w:val="FootnoteReference"/>
        </w:rPr>
        <w:footnoteRef/>
      </w:r>
      <w:r>
        <w:t xml:space="preserve">
          <w:r>
            <w:t xml:space="preserve">
              <w:r>
                <w:t xml:space="preserve"> Hawthorne and Martin, </w:t>
              </w:r>
              <w:r>
                <w:rPr>
                  <w:i/>
                </w:rPr>
                <w:t xml:space="preserve">Philippians</w:t>
              </w:r>
              <w:r>
                <w:t xml:space="preserve"> [WBC].</w:t>
              </w:r>
            </w:t>
          </w:r>
        </w:t>
      </w:r>
    </w:p>
  </w:footnote>
  <w:footnote w:id="27264">
    <w:p>
      <w:pPr>
        <w:pStyle w:val="FootnoteText"/>
      </w:pPr>
      <w:r>
        <w:rPr>
          <w:rStyle w:val="FootnoteReference"/>
        </w:rPr>
        <w:footnoteRef/>
      </w:r>
      <w:r>
        <w:t xml:space="preserve">
          <w:r>
            <w:t xml:space="preserve">
              <w:r>
                <w:t xml:space="preserve"> BDAG, s.v. “λογίζομαι.”</w:t>
              </w:r>
            </w:t>
          </w:r>
        </w:t>
      </w:r>
    </w:p>
  </w:footnote>
  <w:footnote w:id="32459">
    <w:p>
      <w:pPr>
        <w:pStyle w:val="FootnoteText"/>
      </w:pPr>
      <w:r>
        <w:rPr>
          <w:rStyle w:val="FootnoteReference"/>
        </w:rPr>
        <w:footnoteRef/>
      </w:r>
      <w:r>
        <w:t xml:space="preserve">
          <w:r>
            <w:t xml:space="preserve">
              <w:r>
                <w:t xml:space="preserve"> Thayer, </w:t>
              </w:r>
              <w:r>
                <w:rPr>
                  <w:i/>
                </w:rPr>
                <w:t xml:space="preserve">Greek-English Lexicon</w:t>
              </w:r>
              <w:r>
                <w:t xml:space="preserve">, s.v. “μυέω.”</w:t>
              </w:r>
            </w:t>
          </w:r>
        </w:t>
      </w:r>
    </w:p>
  </w:footnote>
  <w:footnote w:id="15071">
    <w:p>
      <w:pPr>
        <w:pStyle w:val="FootnoteText"/>
      </w:pPr>
      <w:r>
        <w:rPr>
          <w:rStyle w:val="FootnoteReference"/>
        </w:rPr>
        <w:footnoteRef/>
      </w:r>
      <w:r>
        <w:t xml:space="preserve">
          <w:r>
            <w:t xml:space="preserve">
              <w:r>
                <w:t xml:space="preserve"> I-Jin Loh and Eugene Nida, </w:t>
              </w:r>
              <w:r>
                <w:rPr>
                  <w:i/>
                </w:rPr>
                <w:t xml:space="preserve">A Translator’s Handbook on Paul’s Letter to the Philippians</w:t>
              </w:r>
              <w:r>
                <w:t xml:space="preserve">.</w:t>
              </w:r>
            </w:t>
          </w:r>
        </w:t>
      </w:r>
    </w:p>
  </w:footnote>
  <w:footnote w:id="19937">
    <w:p>
      <w:pPr>
        <w:pStyle w:val="FootnoteText"/>
      </w:pPr>
      <w:r>
        <w:rPr>
          <w:rStyle w:val="FootnoteReference"/>
        </w:rPr>
        <w:footnoteRef/>
      </w:r>
      <w:r>
        <w:t xml:space="preserve">
          <w:r>
            <w:t xml:space="preserve">
              <w:r>
                <w:t xml:space="preserve"> Lenski, </w:t>
              </w:r>
              <w:r>
                <w:rPr>
                  <w:i/>
                </w:rPr>
                <w:t xml:space="preserve">St. Paul’s Epistles to the Galatians, Ephesians, and Philippians</w:t>
              </w:r>
              <w:r>
                <w:t xml:space="preserve">, 890; Peter O’Brien, </w:t>
              </w:r>
              <w:r>
                <w:rPr>
                  <w:i/>
                </w:rPr>
                <w:t xml:space="preserve">The Epistle to the Philippians</w:t>
              </w:r>
              <w:r>
                <w:t xml:space="preserve"> [NIGTC], 527; see also, William Hendriksen, </w:t>
              </w:r>
              <w:r>
                <w:rPr>
                  <w:i/>
                </w:rPr>
                <w:t xml:space="preserve">New Testament Commentary: Phillipians</w:t>
              </w:r>
              <w:r>
                <w:t xml:space="preserve">, 206; Gerald F. Hawthorne and Ralph P. Martin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906828">
    <w:multiLevelType w:val="hybridMultilevel"/>
    <w:lvl w:ilvl="0" w:tplc="25109383">
      <w:start w:val="1"/>
      <w:numFmt w:val="decimal"/>
      <w:lvlText w:val="%1."/>
      <w:lvlJc w:val="left"/>
      <w:pPr>
        <w:ind w:left="720" w:hanging="360"/>
      </w:pPr>
    </w:lvl>
    <w:lvl w:ilvl="1" w:tplc="25109383" w:tentative="1">
      <w:start w:val="1"/>
      <w:numFmt w:val="lowerLetter"/>
      <w:lvlText w:val="%2."/>
      <w:lvlJc w:val="left"/>
      <w:pPr>
        <w:ind w:left="1440" w:hanging="360"/>
      </w:pPr>
    </w:lvl>
    <w:lvl w:ilvl="2" w:tplc="25109383" w:tentative="1">
      <w:start w:val="1"/>
      <w:numFmt w:val="lowerRoman"/>
      <w:lvlText w:val="%3."/>
      <w:lvlJc w:val="right"/>
      <w:pPr>
        <w:ind w:left="2160" w:hanging="180"/>
      </w:pPr>
    </w:lvl>
    <w:lvl w:ilvl="3" w:tplc="25109383" w:tentative="1">
      <w:start w:val="1"/>
      <w:numFmt w:val="decimal"/>
      <w:lvlText w:val="%4."/>
      <w:lvlJc w:val="left"/>
      <w:pPr>
        <w:ind w:left="2880" w:hanging="360"/>
      </w:pPr>
    </w:lvl>
    <w:lvl w:ilvl="4" w:tplc="25109383" w:tentative="1">
      <w:start w:val="1"/>
      <w:numFmt w:val="lowerLetter"/>
      <w:lvlText w:val="%5."/>
      <w:lvlJc w:val="left"/>
      <w:pPr>
        <w:ind w:left="3600" w:hanging="360"/>
      </w:pPr>
    </w:lvl>
    <w:lvl w:ilvl="5" w:tplc="25109383" w:tentative="1">
      <w:start w:val="1"/>
      <w:numFmt w:val="lowerRoman"/>
      <w:lvlText w:val="%6."/>
      <w:lvlJc w:val="right"/>
      <w:pPr>
        <w:ind w:left="4320" w:hanging="180"/>
      </w:pPr>
    </w:lvl>
    <w:lvl w:ilvl="6" w:tplc="25109383" w:tentative="1">
      <w:start w:val="1"/>
      <w:numFmt w:val="decimal"/>
      <w:lvlText w:val="%7."/>
      <w:lvlJc w:val="left"/>
      <w:pPr>
        <w:ind w:left="5040" w:hanging="360"/>
      </w:pPr>
    </w:lvl>
    <w:lvl w:ilvl="7" w:tplc="25109383" w:tentative="1">
      <w:start w:val="1"/>
      <w:numFmt w:val="lowerLetter"/>
      <w:lvlText w:val="%8."/>
      <w:lvlJc w:val="left"/>
      <w:pPr>
        <w:ind w:left="5760" w:hanging="360"/>
      </w:pPr>
    </w:lvl>
    <w:lvl w:ilvl="8" w:tplc="25109383" w:tentative="1">
      <w:start w:val="1"/>
      <w:numFmt w:val="lowerRoman"/>
      <w:lvlText w:val="%9."/>
      <w:lvlJc w:val="right"/>
      <w:pPr>
        <w:ind w:left="6480" w:hanging="180"/>
      </w:pPr>
    </w:lvl>
  </w:abstractNum>
  <w:abstractNum w:abstractNumId="3684">
    <w:multiLevelType w:val="hybridMultilevel"/>
    <w:lvl w:ilvl="0" w:tplc="835561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684">
    <w:abstractNumId w:val="3684"/>
  </w:num>
  <w:num w:numId="19906828">
    <w:abstractNumId w:val="199068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0408874" Type="http://schemas.openxmlformats.org/officeDocument/2006/relationships/numbering" Target="numbering.xml"/><Relationship Id="rId699287664" Type="http://schemas.openxmlformats.org/officeDocument/2006/relationships/comments" Target="comments.xml"/><Relationship Id="rId5432684eb84a135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