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7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FootnoteReference"/>
        </w:rPr>
        <w:footnoteReference w:id="22276"/>
      </w:r>
      <w:r>
        <w:rPr/>
        <w:t xml:space="preserve"> a servant of God and of the Lord Jesus Christ,</w:t>
      </w:r>
      <w:r>
        <w:rPr>
          <w:rStyle w:val="FootnoteReference"/>
        </w:rPr>
        <w:footnoteReference w:id="12349"/>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FootnoteReference"/>
        </w:rPr>
        <w:footnoteReference w:id="23450"/>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FootnoteReference"/>
        </w:rPr>
        <w:footnoteReference w:id="25216"/>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FootnoteReference"/>
        </w:rPr>
        <w:footnoteReference w:id="22826"/>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FootnoteReference"/>
        </w:rPr>
        <w:footnoteReference w:id="19909"/>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FootnoteReference"/>
        </w:rPr>
        <w:footnoteReference w:id="20643"/>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FootnoteReference"/>
        </w:rPr>
        <w:footnoteReference w:id="13758"/>
      </w:r>
      <w:r>
        <w:rPr/>
        <w:t xml:space="preserve"> also said, </w:t>
      </w:r>
      <w:r>
        <w:rPr>
          <w:rStyle w:val="rOTQuote"/>
        </w:rPr>
        <w:t xml:space="preserve">Do not murder</w:t>
      </w:r>
      <w:r>
        <w:rPr/>
        <w:t xml:space="preserve">.</w:t>
      </w:r>
      <w:r>
        <w:rPr>
          <w:rStyle w:val="FootnoteReference"/>
        </w:rPr>
        <w:footnoteReference w:id="21887"/>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FootnoteReference"/>
        </w:rPr>
        <w:footnoteReference w:id="11828"/>
      </w:r>
      <w:r>
        <w:rPr/>
        <w:t xml:space="preserve"> and he was called </w:t>
      </w:r>
      <w:r>
        <w:rPr>
          <w:rStyle w:val="rOTQuote"/>
        </w:rPr>
        <w:t xml:space="preserve">the friend of God</w:t>
      </w:r>
      <w:r>
        <w:rPr/>
        <w:t xml:space="preserve">.</w:t>
      </w:r>
      <w:r>
        <w:rPr>
          <w:rStyle w:val="FootnoteReference"/>
        </w:rPr>
        <w:footnoteReference w:id="28244"/>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FootnoteReference"/>
        </w:rPr>
        <w:footnoteReference w:id="22342"/>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FootnoteReference"/>
        </w:rPr>
        <w:footnoteReference w:id="13456"/>
      </w:r>
      <w:r>
        <w:rPr/>
        <w:t xml:space="preserve"> </w:t>
      </w:r>
      <w:r>
        <w:rPr>
          <w:rStyle w:val="rSupStyle"/>
          <w:vertAlign w:val="superscript"/>
        </w:rPr>
        <w:t xml:space="preserve">7</w:t>
      </w:r>
      <w:r>
        <w:rPr/>
        <w:t xml:space="preserve">Therefore submit yourselves to God. Resist the Devil,</w:t>
      </w:r>
      <w:r>
        <w:rPr>
          <w:rStyle w:val="FootnoteReference"/>
        </w:rPr>
        <w:footnoteReference w:id="28927"/>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FootnoteReference"/>
        </w:rPr>
        <w:footnoteReference w:id="26009"/>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FootnoteReference"/>
        </w:rPr>
        <w:footnoteReference w:id="16944"/>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5851684eb83baf6c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60120"/>
      <w:docPartObj>
        <w:docPartGallery w:val="Page Numbers (Bottom of Page)"/>
        <w:docPartUnique/>
      </w:docPartObj>
    </w:sdtPr>
    <w:sdtContent>
      <w:sdt>
        <w:sdtPr>
          <w:id w:val="6873977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276">
    <w:p>
      <w:pPr>
        <w:pStyle w:val="FootnoteText"/>
      </w:pPr>
      <w:r>
        <w:rPr>
          <w:rStyle w:val="FootnoteReference"/>
        </w:rPr>
        <w:footnoteRef/>
      </w:r>
      <w:r>
        <w:t xml:space="preserve">
          <w:r>
            <w:t xml:space="preserve">
              <w:r>
                <w:t xml:space="preserve"> Lit. “Jacob”</w:t>
              </w:r>
            </w:t>
          </w:r>
        </w:t>
      </w:r>
    </w:p>
  </w:footnote>
  <w:footnote w:id="12349">
    <w:p>
      <w:pPr>
        <w:pStyle w:val="FootnoteText"/>
      </w:pPr>
      <w:r>
        <w:rPr>
          <w:rStyle w:val="FootnoteReference"/>
        </w:rPr>
        <w:footnoteRef/>
      </w:r>
      <w:r>
        <w:t xml:space="preserve">
          <w:r>
            <w:t xml:space="preserve">
              <w:r>
                <w:t xml:space="preserve"> Lit. “the Anointed One”</w:t>
              </w:r>
            </w:t>
          </w:r>
        </w:t>
      </w:r>
    </w:p>
  </w:footnote>
  <w:footnote w:id="23450">
    <w:p>
      <w:pPr>
        <w:pStyle w:val="FootnoteText"/>
      </w:pPr>
      <w:r>
        <w:rPr>
          <w:rStyle w:val="FootnoteReference"/>
        </w:rPr>
        <w:footnoteRef/>
      </w:r>
      <w:r>
        <w:t xml:space="preserve">
          <w:r>
            <w:t xml:space="preserve">
              <w:r>
                <w:t xml:space="preserve"> Lit. “complete work”</w:t>
              </w:r>
            </w:t>
          </w:r>
        </w:t>
      </w:r>
    </w:p>
  </w:footnote>
  <w:footnote w:id="25216">
    <w:p>
      <w:pPr>
        <w:pStyle w:val="FootnoteText"/>
      </w:pPr>
      <w:r>
        <w:rPr>
          <w:rStyle w:val="FootnoteReference"/>
        </w:rPr>
        <w:footnoteRef/>
      </w:r>
      <w:r>
        <w:t xml:space="preserve">
          <w:r>
            <w:t xml:space="preserve">
              <w:r>
                <w:t xml:space="preserve"> A generic term for a Christian believer.</w:t>
              </w:r>
            </w:t>
          </w:r>
        </w:t>
      </w:r>
    </w:p>
  </w:footnote>
  <w:footnote w:id="22826">
    <w:p>
      <w:pPr>
        <w:pStyle w:val="FootnoteText"/>
      </w:pPr>
      <w:r>
        <w:rPr>
          <w:rStyle w:val="FootnoteReference"/>
        </w:rPr>
        <w:footnoteRef/>
      </w:r>
      <w:r>
        <w:t xml:space="preserve">
          <w:r>
            <w:t xml:space="preserve">
              <w:r>
                <w:t xml:space="preserve"> Lit. “the implanted word”</w:t>
              </w:r>
            </w:t>
          </w:r>
        </w:t>
      </w:r>
    </w:p>
  </w:footnote>
  <w:footnote w:id="19909">
    <w:p>
      <w:pPr>
        <w:pStyle w:val="FootnoteText"/>
      </w:pPr>
      <w:r>
        <w:rPr>
          <w:rStyle w:val="FootnoteReference"/>
        </w:rPr>
        <w:footnoteRef/>
      </w:r>
      <w:r>
        <w:t xml:space="preserve">
          <w:r>
            <w:t xml:space="preserve">
              <w:r>
                <w:t xml:space="preserve"> Lit. “the Anointed One”</w:t>
              </w:r>
            </w:t>
          </w:r>
        </w:t>
      </w:r>
    </w:p>
  </w:footnote>
  <w:footnote w:id="20643">
    <w:p>
      <w:pPr>
        <w:pStyle w:val="FootnoteText"/>
      </w:pPr>
      <w:r>
        <w:rPr>
          <w:rStyle w:val="FootnoteReference"/>
        </w:rPr>
        <w:footnoteRef/>
      </w:r>
      <w:r>
        <w:t xml:space="preserve">
          <w:r>
            <w:t xml:space="preserve">
              <w:r>
                <w:t xml:space="preserve"> From Lev. 19:18</w:t>
              </w:r>
            </w:t>
          </w:r>
        </w:t>
      </w:r>
    </w:p>
  </w:footnote>
  <w:footnote w:id="13758">
    <w:p>
      <w:pPr>
        <w:pStyle w:val="FootnoteText"/>
      </w:pPr>
      <w:r>
        <w:rPr>
          <w:rStyle w:val="FootnoteReference"/>
        </w:rPr>
        <w:footnoteRef/>
      </w:r>
      <w:r>
        <w:t xml:space="preserve">
          <w:r>
            <w:t xml:space="preserve">
              <w:r>
                <w:t xml:space="preserve"> From Exod. 20:14; Deut. 5:18</w:t>
              </w:r>
            </w:t>
          </w:r>
        </w:t>
      </w:r>
    </w:p>
  </w:footnote>
  <w:footnote w:id="21887">
    <w:p>
      <w:pPr>
        <w:pStyle w:val="FootnoteText"/>
      </w:pPr>
      <w:r>
        <w:rPr>
          <w:rStyle w:val="FootnoteReference"/>
        </w:rPr>
        <w:footnoteRef/>
      </w:r>
      <w:r>
        <w:t xml:space="preserve">
          <w:r>
            <w:t xml:space="preserve">
              <w:r>
                <w:t xml:space="preserve"> From Exod. 20:13; Deut. 5:17</w:t>
              </w:r>
            </w:t>
          </w:r>
        </w:t>
      </w:r>
    </w:p>
  </w:footnote>
  <w:footnote w:id="11828">
    <w:p>
      <w:pPr>
        <w:pStyle w:val="FootnoteText"/>
      </w:pPr>
      <w:r>
        <w:rPr>
          <w:rStyle w:val="FootnoteReference"/>
        </w:rPr>
        <w:footnoteRef/>
      </w:r>
      <w:r>
        <w:t xml:space="preserve">
          <w:r>
            <w:t xml:space="preserve">
              <w:r>
                <w:t xml:space="preserve"> From Gen. 15:6</w:t>
              </w:r>
            </w:t>
          </w:r>
        </w:t>
      </w:r>
    </w:p>
  </w:footnote>
  <w:footnote w:id="28244">
    <w:p>
      <w:pPr>
        <w:pStyle w:val="FootnoteText"/>
      </w:pPr>
      <w:r>
        <w:rPr>
          <w:rStyle w:val="FootnoteReference"/>
        </w:rPr>
        <w:footnoteRef/>
      </w:r>
      <w:r>
        <w:t xml:space="preserve">
          <w:r>
            <w:t xml:space="preserve">
              <w:r>
                <w:t xml:space="preserve"> From Isa. 41:8; 2 Chron. 20:7</w:t>
              </w:r>
            </w:t>
          </w:r>
        </w:t>
      </w:r>
    </w:p>
  </w:footnote>
  <w:footnote w:id="22342">
    <w:p>
      <w:pPr>
        <w:pStyle w:val="FootnoteText"/>
      </w:pPr>
      <w:r>
        <w:rPr>
          <w:rStyle w:val="FootnoteReference"/>
        </w:rPr>
        <w:footnoteRef/>
      </w:r>
      <w:r>
        <w:t xml:space="preserve">
          <w:r>
            <w:t xml:space="preserve">
              <w:r>
                <w:t xml:space="preserve"> Lit. “of soul.” We have no good English equivalent.</w:t>
              </w:r>
            </w:t>
          </w:r>
        </w:t>
      </w:r>
    </w:p>
  </w:footnote>
  <w:footnote w:id="13456">
    <w:p>
      <w:pPr>
        <w:pStyle w:val="FootnoteText"/>
      </w:pPr>
      <w:r>
        <w:rPr>
          <w:rStyle w:val="FootnoteReference"/>
        </w:rPr>
        <w:footnoteRef/>
      </w:r>
      <w:r>
        <w:t xml:space="preserve">
          <w:r>
            <w:t xml:space="preserve">
              <w:r>
                <w:t xml:space="preserve"> From Prov. 3:34</w:t>
              </w:r>
            </w:t>
          </w:r>
        </w:t>
      </w:r>
    </w:p>
  </w:footnote>
  <w:footnote w:id="28927">
    <w:p>
      <w:pPr>
        <w:pStyle w:val="FootnoteText"/>
      </w:pPr>
      <w:r>
        <w:rPr>
          <w:rStyle w:val="FootnoteReference"/>
        </w:rPr>
        <w:footnoteRef/>
      </w:r>
      <w:r>
        <w:t xml:space="preserve">
          <w:r>
            <w:t xml:space="preserve">
              <w:r>
                <w:t xml:space="preserve"> “Devil” is from the Greek word </w:t>
              </w:r>
              <w:r>
                <w:rPr>
                  <w:i/>
                </w:rPr>
                <w:t xml:space="preserve">diabolos</w:t>
              </w:r>
              <w:r>
                <w:t xml:space="preserve">, which literally means “Slanderer.”</w:t>
              </w:r>
            </w:t>
          </w:r>
        </w:t>
      </w:r>
    </w:p>
  </w:footnote>
  <w:footnote w:id="26009">
    <w:p>
      <w:pPr>
        <w:pStyle w:val="FootnoteText"/>
      </w:pPr>
      <w:r>
        <w:rPr>
          <w:rStyle w:val="FootnoteReference"/>
        </w:rPr>
        <w:footnoteRef/>
      </w:r>
      <w:r>
        <w:t xml:space="preserve">
          <w:r>
            <w:t xml:space="preserve">
              <w:r>
                <w:t xml:space="preserve"> Lit. “for him it is sin”</w:t>
              </w:r>
            </w:t>
          </w:r>
        </w:t>
      </w:r>
    </w:p>
  </w:footnote>
  <w:footnote w:id="16944">
    <w:p>
      <w:pPr>
        <w:pStyle w:val="FootnoteText"/>
      </w:pPr>
      <w:r>
        <w:rPr>
          <w:rStyle w:val="FootnoteReference"/>
        </w:rPr>
        <w:footnoteRef/>
      </w:r>
      <w:r>
        <w:t xml:space="preserve">
          <w:r>
            <w:t xml:space="preserve">
              <w:r>
                <w:t xml:space="preserve"> Or “when it is energized”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283708">
    <w:multiLevelType w:val="hybridMultilevel"/>
    <w:lvl w:ilvl="0" w:tplc="51581668">
      <w:start w:val="1"/>
      <w:numFmt w:val="decimal"/>
      <w:lvlText w:val="%1."/>
      <w:lvlJc w:val="left"/>
      <w:pPr>
        <w:ind w:left="720" w:hanging="360"/>
      </w:pPr>
    </w:lvl>
    <w:lvl w:ilvl="1" w:tplc="51581668" w:tentative="1">
      <w:start w:val="1"/>
      <w:numFmt w:val="lowerLetter"/>
      <w:lvlText w:val="%2."/>
      <w:lvlJc w:val="left"/>
      <w:pPr>
        <w:ind w:left="1440" w:hanging="360"/>
      </w:pPr>
    </w:lvl>
    <w:lvl w:ilvl="2" w:tplc="51581668" w:tentative="1">
      <w:start w:val="1"/>
      <w:numFmt w:val="lowerRoman"/>
      <w:lvlText w:val="%3."/>
      <w:lvlJc w:val="right"/>
      <w:pPr>
        <w:ind w:left="2160" w:hanging="180"/>
      </w:pPr>
    </w:lvl>
    <w:lvl w:ilvl="3" w:tplc="51581668" w:tentative="1">
      <w:start w:val="1"/>
      <w:numFmt w:val="decimal"/>
      <w:lvlText w:val="%4."/>
      <w:lvlJc w:val="left"/>
      <w:pPr>
        <w:ind w:left="2880" w:hanging="360"/>
      </w:pPr>
    </w:lvl>
    <w:lvl w:ilvl="4" w:tplc="51581668" w:tentative="1">
      <w:start w:val="1"/>
      <w:numFmt w:val="lowerLetter"/>
      <w:lvlText w:val="%5."/>
      <w:lvlJc w:val="left"/>
      <w:pPr>
        <w:ind w:left="3600" w:hanging="360"/>
      </w:pPr>
    </w:lvl>
    <w:lvl w:ilvl="5" w:tplc="51581668" w:tentative="1">
      <w:start w:val="1"/>
      <w:numFmt w:val="lowerRoman"/>
      <w:lvlText w:val="%6."/>
      <w:lvlJc w:val="right"/>
      <w:pPr>
        <w:ind w:left="4320" w:hanging="180"/>
      </w:pPr>
    </w:lvl>
    <w:lvl w:ilvl="6" w:tplc="51581668" w:tentative="1">
      <w:start w:val="1"/>
      <w:numFmt w:val="decimal"/>
      <w:lvlText w:val="%7."/>
      <w:lvlJc w:val="left"/>
      <w:pPr>
        <w:ind w:left="5040" w:hanging="360"/>
      </w:pPr>
    </w:lvl>
    <w:lvl w:ilvl="7" w:tplc="51581668" w:tentative="1">
      <w:start w:val="1"/>
      <w:numFmt w:val="lowerLetter"/>
      <w:lvlText w:val="%8."/>
      <w:lvlJc w:val="left"/>
      <w:pPr>
        <w:ind w:left="5760" w:hanging="360"/>
      </w:pPr>
    </w:lvl>
    <w:lvl w:ilvl="8" w:tplc="51581668" w:tentative="1">
      <w:start w:val="1"/>
      <w:numFmt w:val="lowerRoman"/>
      <w:lvlText w:val="%9."/>
      <w:lvlJc w:val="right"/>
      <w:pPr>
        <w:ind w:left="6480" w:hanging="180"/>
      </w:pPr>
    </w:lvl>
  </w:abstractNum>
  <w:abstractNum w:abstractNumId="19636">
    <w:multiLevelType w:val="hybridMultilevel"/>
    <w:lvl w:ilvl="0" w:tplc="219263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36">
    <w:abstractNumId w:val="19636"/>
  </w:num>
  <w:num w:numId="70283708">
    <w:abstractNumId w:val="702837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8280825" Type="http://schemas.openxmlformats.org/officeDocument/2006/relationships/numbering" Target="numbering.xml"/><Relationship Id="rId626412850" Type="http://schemas.openxmlformats.org/officeDocument/2006/relationships/comments" Target="comments.xml"/><Relationship Id="rId5851684eb83baf6c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