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FootnoteReference"/>
        </w:rPr>
        <w:footnoteReference w:id="20004"/>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FootnoteReference"/>
        </w:rPr>
        <w:footnoteReference w:id="13744"/>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FootnoteReference"/>
        </w:rPr>
        <w:footnoteReference w:id="11977"/>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FootnoteReference"/>
        </w:rPr>
        <w:footnoteReference w:id="22607"/>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there is any encouragement in Christ,</w:t>
      </w:r>
      <w:r>
        <w:rPr>
          <w:rStyle w:val="FootnoteReference"/>
        </w:rPr>
        <w:footnoteReference w:id="13318"/>
      </w:r>
      <w:r>
        <w:rPr/>
        <w:t xml:space="preserve"> if any comfort from love, if any fellowship based on the spirit, if any compassion</w:t>
      </w:r>
      <w:r>
        <w:rPr>
          <w:rStyle w:val="FootnoteReference"/>
        </w:rPr>
        <w:footnoteReference w:id="20211"/>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as more important than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FootnoteReference"/>
        </w:rPr>
        <w:footnoteReference w:id="24367"/>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FootnoteReference"/>
        </w:rPr>
        <w:footnoteReference w:id="32753"/>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FootnoteReference"/>
        </w:rPr>
        <w:footnoteReference w:id="10742"/>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FootnoteReference"/>
        </w:rPr>
        <w:footnoteReference w:id="14949"/>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FootnoteReference"/>
        </w:rPr>
        <w:footnoteReference w:id="23418"/>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FootnoteReference"/>
        </w:rPr>
        <w:footnoteReference w:id="25961"/>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FootnoteReference"/>
        </w:rPr>
        <w:footnoteReference w:id="13288"/>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FootnoteReference"/>
        </w:rPr>
        <w:footnoteReference w:id="29500"/>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FootnoteReference"/>
        </w:rPr>
        <w:footnoteReference w:id="12733"/>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FootnoteReference"/>
        </w:rPr>
        <w:footnoteReference w:id="28056"/>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FootnoteReference"/>
        </w:rPr>
        <w:footnoteReference w:id="16714"/>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FootnoteReference"/>
        </w:rPr>
        <w:footnoteReference w:id="14004"/>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FootnoteReference"/>
        </w:rPr>
        <w:footnoteReference w:id="15745"/>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FootnoteReference"/>
        </w:rPr>
        <w:footnoteReference w:id="11925"/>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8133684eb83ad18a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908497"/>
      <w:docPartObj>
        <w:docPartGallery w:val="Page Numbers (Bottom of Page)"/>
        <w:docPartUnique/>
      </w:docPartObj>
    </w:sdtPr>
    <w:sdtContent>
      <w:sdt>
        <w:sdtPr>
          <w:id w:val="2001868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004">
    <w:p>
      <w:pPr>
        <w:pStyle w:val="FootnoteText"/>
      </w:pPr>
      <w:r>
        <w:rPr>
          <w:rStyle w:val="FootnoteReference"/>
        </w:rPr>
        <w:footnoteRef/>
      </w:r>
      <w:r>
        <w:t xml:space="preserve">
          <w:r>
            <w:t xml:space="preserve">
              <w:r>
                <w:t xml:space="preserve"> Lit. “the Anointed One”</w:t>
              </w:r>
            </w:t>
          </w:r>
        </w:t>
      </w:r>
    </w:p>
  </w:footnote>
  <w:footnote w:id="13744">
    <w:p>
      <w:pPr>
        <w:pStyle w:val="FootnoteText"/>
      </w:pPr>
      <w:r>
        <w:rPr>
          <w:rStyle w:val="FootnoteReference"/>
        </w:rPr>
        <w:footnoteRef/>
      </w:r>
      <w:r>
        <w:t xml:space="preserve">
          <w:r>
            <w:t xml:space="preserve">
              <w:r>
                <w:t xml:space="preserve"> Lit. “bowels”</w:t>
              </w:r>
            </w:t>
          </w:r>
        </w:t>
      </w:r>
    </w:p>
  </w:footnote>
  <w:footnote w:id="11977">
    <w:p>
      <w:pPr>
        <w:pStyle w:val="FootnoteText"/>
      </w:pPr>
      <w:r>
        <w:rPr>
          <w:rStyle w:val="FootnoteReference"/>
        </w:rPr>
        <w:footnoteRef/>
      </w:r>
      <w:r>
        <w:t xml:space="preserve">
          <w:r>
            <w:t xml:space="preserve">
              <w:r>
                <w:t xml:space="preserve"> Lit. “praetorian guard,” the private army the emperor used to protect himself.</w:t>
              </w:r>
            </w:t>
          </w:r>
        </w:t>
      </w:r>
    </w:p>
  </w:footnote>
  <w:footnote w:id="22607">
    <w:p>
      <w:pPr>
        <w:pStyle w:val="FootnoteText"/>
      </w:pPr>
      <w:r>
        <w:rPr>
          <w:rStyle w:val="FootnoteReference"/>
        </w:rPr>
        <w:footnoteRef/>
      </w:r>
      <w:r>
        <w:t xml:space="preserve">
          <w:r>
            <w:t xml:space="preserve">
              <w:r>
                <w:t xml:space="preserve"> “Faith” refers to the Christian Faith.</w:t>
              </w:r>
            </w:t>
          </w:r>
        </w:t>
      </w:r>
    </w:p>
  </w:footnote>
  <w:footnote w:id="13318">
    <w:p>
      <w:pPr>
        <w:pStyle w:val="FootnoteText"/>
      </w:pPr>
      <w:r>
        <w:rPr>
          <w:rStyle w:val="FootnoteReference"/>
        </w:rPr>
        <w:footnoteRef/>
      </w:r>
      <w:r>
        <w:t xml:space="preserve">
          <w:r>
            <w:t xml:space="preserve">
              <w:r>
                <w:t xml:space="preserve"> Lit. “the Anointed One”</w:t>
              </w:r>
            </w:t>
          </w:r>
        </w:t>
      </w:r>
    </w:p>
  </w:footnote>
  <w:footnote w:id="20211">
    <w:p>
      <w:pPr>
        <w:pStyle w:val="FootnoteText"/>
      </w:pPr>
      <w:r>
        <w:rPr>
          <w:rStyle w:val="FootnoteReference"/>
        </w:rPr>
        <w:footnoteRef/>
      </w:r>
      <w:r>
        <w:t xml:space="preserve">
          <w:r>
            <w:t xml:space="preserve">
              <w:r>
                <w:t xml:space="preserve"> Lit. “bowels,” referring to the seat of one’s emotions</w:t>
              </w:r>
            </w:t>
          </w:r>
        </w:t>
      </w:r>
    </w:p>
  </w:footnote>
  <w:footnote w:id="24367">
    <w:p>
      <w:pPr>
        <w:pStyle w:val="FootnoteText"/>
      </w:pPr>
      <w:r>
        <w:rPr>
          <w:rStyle w:val="FootnoteReference"/>
        </w:rPr>
        <w:footnoteRef/>
      </w:r>
      <w:r>
        <w:t xml:space="preserve">
          <w:r>
            <w:t xml:space="preserve">
              <w:r>
                <w:t xml:space="preserve"> Or “of a god”</w:t>
              </w:r>
            </w:t>
          </w:r>
        </w:t>
      </w:r>
    </w:p>
  </w:footnote>
  <w:footnote w:id="32753">
    <w:p>
      <w:pPr>
        <w:pStyle w:val="FootnoteText"/>
      </w:pPr>
      <w:r>
        <w:rPr>
          <w:rStyle w:val="FootnoteReference"/>
        </w:rPr>
        <w:footnoteRef/>
      </w:r>
      <w:r>
        <w:t xml:space="preserve">
          <w:r>
            <w:t xml:space="preserve">
              <w:r>
                <w:t xml:space="preserve"> Lit. “as a human in </w:t>
              </w:r>
              <w:r>
                <w:rPr>
                  <w:i/>
                </w:rPr>
                <w:t xml:space="preserve">his</w:t>
              </w:r>
              <w:r>
                <w:t xml:space="preserve"> appearance”</w:t>
              </w:r>
            </w:t>
          </w:r>
        </w:t>
      </w:r>
    </w:p>
  </w:footnote>
  <w:footnote w:id="10742">
    <w:p>
      <w:pPr>
        <w:pStyle w:val="FootnoteText"/>
      </w:pPr>
      <w:r>
        <w:rPr>
          <w:rStyle w:val="FootnoteReference"/>
        </w:rPr>
        <w:footnoteRef/>
      </w:r>
      <w:r>
        <w:t xml:space="preserve">
          <w:r>
            <w:t xml:space="preserve">
              <w:r>
                <w:t xml:space="preserve"> Lit. “of equal soul”</w:t>
              </w:r>
            </w:t>
          </w:r>
        </w:t>
      </w:r>
    </w:p>
  </w:footnote>
  <w:footnote w:id="14949">
    <w:p>
      <w:pPr>
        <w:pStyle w:val="FootnoteText"/>
      </w:pPr>
      <w:r>
        <w:rPr>
          <w:rStyle w:val="FootnoteReference"/>
        </w:rPr>
        <w:footnoteRef/>
      </w:r>
      <w:r>
        <w:t xml:space="preserve">
          <w:r>
            <w:t xml:space="preserve">
              <w:r>
                <w:t xml:space="preserve"> Lit. “the Anointed One”</w:t>
              </w:r>
            </w:t>
          </w:r>
        </w:t>
      </w:r>
    </w:p>
  </w:footnote>
  <w:footnote w:id="23418">
    <w:p>
      <w:pPr>
        <w:pStyle w:val="FootnoteText"/>
      </w:pPr>
      <w:r>
        <w:rPr>
          <w:rStyle w:val="FootnoteReference"/>
        </w:rPr>
        <w:footnoteRef/>
      </w:r>
      <w:r>
        <w:t xml:space="preserve">
          <w:r>
            <w:t xml:space="preserve">
              <w:r>
                <w:t xml:space="preserve"> Lit. “if somehow”</w:t>
              </w:r>
            </w:t>
          </w:r>
        </w:t>
      </w:r>
    </w:p>
  </w:footnote>
  <w:footnote w:id="25961">
    <w:p>
      <w:pPr>
        <w:pStyle w:val="FootnoteText"/>
      </w:pPr>
      <w:r>
        <w:rPr>
          <w:rStyle w:val="FootnoteReference"/>
        </w:rPr>
        <w:footnoteRef/>
      </w:r>
      <w:r>
        <w:t xml:space="preserve">
          <w:r>
            <w:t xml:space="preserve">
              <w:r>
                <w:t xml:space="preserve"> Lit. “have already been perfected”</w:t>
              </w:r>
            </w:t>
          </w:r>
        </w:t>
      </w:r>
    </w:p>
  </w:footnote>
  <w:footnote w:id="13288">
    <w:p>
      <w:pPr>
        <w:pStyle w:val="FootnoteText"/>
      </w:pPr>
      <w:r>
        <w:rPr>
          <w:rStyle w:val="FootnoteReference"/>
        </w:rPr>
        <w:footnoteRef/>
      </w:r>
      <w:r>
        <w:t xml:space="preserve">
          <w:r>
            <w:t xml:space="preserve">
              <w:r>
                <w:t xml:space="preserve"> Or “the upward calling of God”</w:t>
              </w:r>
            </w:t>
          </w:r>
        </w:t>
      </w:r>
    </w:p>
  </w:footnote>
  <w:footnote w:id="29500">
    <w:p>
      <w:pPr>
        <w:pStyle w:val="FootnoteText"/>
      </w:pPr>
      <w:r>
        <w:rPr>
          <w:rStyle w:val="FootnoteReference"/>
        </w:rPr>
        <w:footnoteRef/>
      </w:r>
      <w:r>
        <w:t xml:space="preserve">
          <w:r>
            <w:t xml:space="preserve">
              <w:r>
                <w:t xml:space="preserve"> Lit. “to what we have attained, let us keep in line with the same.”</w:t>
              </w:r>
            </w:t>
          </w:r>
        </w:t>
      </w:r>
    </w:p>
  </w:footnote>
  <w:footnote w:id="12733">
    <w:p>
      <w:pPr>
        <w:pStyle w:val="FootnoteText"/>
      </w:pPr>
      <w:r>
        <w:rPr>
          <w:rStyle w:val="FootnoteReference"/>
        </w:rPr>
        <w:footnoteRef/>
      </w:r>
      <w:r>
        <w:t xml:space="preserve">
          <w:r>
            <w:t xml:space="preserve">
              <w:r>
                <w:t xml:space="preserve"> Lit. “the body of our lowliness”</w:t>
              </w:r>
            </w:t>
          </w:r>
        </w:t>
      </w:r>
    </w:p>
  </w:footnote>
  <w:footnote w:id="28056">
    <w:p>
      <w:pPr>
        <w:pStyle w:val="FootnoteText"/>
      </w:pPr>
      <w:r>
        <w:rPr>
          <w:rStyle w:val="FootnoteReference"/>
        </w:rPr>
        <w:footnoteRef/>
      </w:r>
      <w:r>
        <w:t xml:space="preserve">
          <w:r>
            <w:t xml:space="preserve">
              <w:r>
                <w:t xml:space="preserve"> Phil. 4:1 is the close of chapter 3. Phil. 4:2 actually starts chapter 4.</w:t>
              </w:r>
            </w:t>
          </w:r>
        </w:t>
      </w:r>
    </w:p>
  </w:footnote>
  <w:footnote w:id="16714">
    <w:p>
      <w:pPr>
        <w:pStyle w:val="FootnoteText"/>
      </w:pPr>
      <w:r>
        <w:rPr>
          <w:rStyle w:val="FootnoteReference"/>
        </w:rPr>
        <w:footnoteRef/>
      </w:r>
      <w:r>
        <w:t xml:space="preserve">
          <w:r>
            <w:t xml:space="preserve">
              <w:r>
                <w:t xml:space="preserve"> Lit. “true yokefellow”</w:t>
              </w:r>
            </w:t>
          </w:r>
        </w:t>
      </w:r>
    </w:p>
  </w:footnote>
  <w:footnote w:id="14004">
    <w:p>
      <w:pPr>
        <w:pStyle w:val="FootnoteText"/>
      </w:pPr>
      <w:r>
        <w:rPr>
          <w:rStyle w:val="FootnoteReference"/>
        </w:rPr>
        <w:footnoteRef/>
      </w:r>
      <w:r>
        <w:t xml:space="preserve">
          <w:r>
            <w:t xml:space="preserve">
              <w:r>
                <w:t xml:space="preserve"> Lit. “the Anointed One”</w:t>
              </w:r>
            </w:t>
          </w:r>
        </w:t>
      </w:r>
    </w:p>
  </w:footnote>
  <w:footnote w:id="15745">
    <w:p>
      <w:pPr>
        <w:pStyle w:val="FootnoteText"/>
      </w:pPr>
      <w:r>
        <w:rPr>
          <w:rStyle w:val="FootnoteReference"/>
        </w:rPr>
        <w:footnoteRef/>
      </w:r>
      <w:r>
        <w:t xml:space="preserve">
          <w:r>
            <w:t xml:space="preserve">
              <w:r>
                <w:t xml:space="preserve"> Or “through him”</w:t>
              </w:r>
            </w:t>
          </w:r>
        </w:t>
      </w:r>
    </w:p>
  </w:footnote>
  <w:footnote w:id="11925">
    <w:p>
      <w:pPr>
        <w:pStyle w:val="FootnoteText"/>
      </w:pPr>
      <w:r>
        <w:rPr>
          <w:rStyle w:val="FootnoteReference"/>
        </w:rPr>
        <w:footnoteRef/>
      </w:r>
      <w:r>
        <w:t xml:space="preserve">
          <w:r>
            <w:t xml:space="preserve">
              <w:r>
                <w:t xml:space="preserve"> Or “his glorious riches”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244547">
    <w:multiLevelType w:val="hybridMultilevel"/>
    <w:lvl w:ilvl="0" w:tplc="57261214">
      <w:start w:val="1"/>
      <w:numFmt w:val="decimal"/>
      <w:lvlText w:val="%1."/>
      <w:lvlJc w:val="left"/>
      <w:pPr>
        <w:ind w:left="720" w:hanging="360"/>
      </w:pPr>
    </w:lvl>
    <w:lvl w:ilvl="1" w:tplc="57261214" w:tentative="1">
      <w:start w:val="1"/>
      <w:numFmt w:val="lowerLetter"/>
      <w:lvlText w:val="%2."/>
      <w:lvlJc w:val="left"/>
      <w:pPr>
        <w:ind w:left="1440" w:hanging="360"/>
      </w:pPr>
    </w:lvl>
    <w:lvl w:ilvl="2" w:tplc="57261214" w:tentative="1">
      <w:start w:val="1"/>
      <w:numFmt w:val="lowerRoman"/>
      <w:lvlText w:val="%3."/>
      <w:lvlJc w:val="right"/>
      <w:pPr>
        <w:ind w:left="2160" w:hanging="180"/>
      </w:pPr>
    </w:lvl>
    <w:lvl w:ilvl="3" w:tplc="57261214" w:tentative="1">
      <w:start w:val="1"/>
      <w:numFmt w:val="decimal"/>
      <w:lvlText w:val="%4."/>
      <w:lvlJc w:val="left"/>
      <w:pPr>
        <w:ind w:left="2880" w:hanging="360"/>
      </w:pPr>
    </w:lvl>
    <w:lvl w:ilvl="4" w:tplc="57261214" w:tentative="1">
      <w:start w:val="1"/>
      <w:numFmt w:val="lowerLetter"/>
      <w:lvlText w:val="%5."/>
      <w:lvlJc w:val="left"/>
      <w:pPr>
        <w:ind w:left="3600" w:hanging="360"/>
      </w:pPr>
    </w:lvl>
    <w:lvl w:ilvl="5" w:tplc="57261214" w:tentative="1">
      <w:start w:val="1"/>
      <w:numFmt w:val="lowerRoman"/>
      <w:lvlText w:val="%6."/>
      <w:lvlJc w:val="right"/>
      <w:pPr>
        <w:ind w:left="4320" w:hanging="180"/>
      </w:pPr>
    </w:lvl>
    <w:lvl w:ilvl="6" w:tplc="57261214" w:tentative="1">
      <w:start w:val="1"/>
      <w:numFmt w:val="decimal"/>
      <w:lvlText w:val="%7."/>
      <w:lvlJc w:val="left"/>
      <w:pPr>
        <w:ind w:left="5040" w:hanging="360"/>
      </w:pPr>
    </w:lvl>
    <w:lvl w:ilvl="7" w:tplc="57261214" w:tentative="1">
      <w:start w:val="1"/>
      <w:numFmt w:val="lowerLetter"/>
      <w:lvlText w:val="%8."/>
      <w:lvlJc w:val="left"/>
      <w:pPr>
        <w:ind w:left="5760" w:hanging="360"/>
      </w:pPr>
    </w:lvl>
    <w:lvl w:ilvl="8" w:tplc="57261214" w:tentative="1">
      <w:start w:val="1"/>
      <w:numFmt w:val="lowerRoman"/>
      <w:lvlText w:val="%9."/>
      <w:lvlJc w:val="right"/>
      <w:pPr>
        <w:ind w:left="6480" w:hanging="180"/>
      </w:pPr>
    </w:lvl>
  </w:abstractNum>
  <w:abstractNum w:abstractNumId="30615">
    <w:multiLevelType w:val="hybridMultilevel"/>
    <w:lvl w:ilvl="0" w:tplc="5027343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615">
    <w:abstractNumId w:val="30615"/>
  </w:num>
  <w:num w:numId="33244547">
    <w:abstractNumId w:val="332445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7901528" Type="http://schemas.openxmlformats.org/officeDocument/2006/relationships/numbering" Target="numbering.xml"/><Relationship Id="rId108308255" Type="http://schemas.openxmlformats.org/officeDocument/2006/relationships/comments" Target="comments.xml"/><Relationship Id="rId8133684eb83ad18a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