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9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rFootnRef"/>
        </w:rPr>
        <w:footnoteReference w:id="16541"/>
      </w:r>
      <w:r>
        <w:rPr/>
        <w:t xml:space="preserve">); “the communication [to others] of your faith” (Vincent</w:t>
      </w:r>
      <w:r>
        <w:rPr>
          <w:rStyle w:val="rFootnRef"/>
        </w:rPr>
        <w:footnoteReference w:id="16556"/>
      </w:r>
      <w:r>
        <w:rPr/>
        <w:t xml:space="preserve">); “your fellowship with other Christians created by faith” (Lohmeyer</w:t>
      </w:r>
      <w:r>
        <w:rPr>
          <w:rStyle w:val="rFootnRef"/>
        </w:rPr>
        <w:footnoteReference w:id="13304"/>
      </w:r>
      <w:r>
        <w:rPr/>
        <w:t xml:space="preserve">); “communion [with Christ] by faith” (Dibelious-Greeven</w:t>
      </w:r>
      <w:r>
        <w:rPr>
          <w:rStyle w:val="rFootnRef"/>
        </w:rPr>
        <w:footnoteReference w:id="18632"/>
      </w:r>
      <w:r>
        <w:rPr/>
        <w:t xml:space="preserve">); “the faith in which you participate” or “the participation of other Christians in your faith” (J. Y. Campbell</w:t>
      </w:r>
      <w:r>
        <w:rPr>
          <w:rStyle w:val="rFootnRef"/>
        </w:rPr>
        <w:footnoteReference w:id="32546"/>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rFootnRef"/>
        </w:rPr>
        <w:footnoteReference w:id="21375"/>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rFootnRef"/>
        </w:rPr>
        <w:footnoteReference w:id="30987"/>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1:16</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rFootnRef"/>
        </w:rPr>
        <w:footnoteReference w:id="13215"/>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367567cdfa59325c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529429"/>
      <w:docPartObj>
        <w:docPartGallery w:val="Page Numbers (Bottom of Page)"/>
        <w:docPartUnique/>
      </w:docPartObj>
    </w:sdtPr>
    <w:sdtContent>
      <w:sdt>
        <w:sdtPr>
          <w:id w:val="2462575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541">
    <w:p>
      <w:pPr>
        <w:pStyle w:val="rFootn"/>
      </w:pPr>
      <w:r>
        <w:rPr>
          <w:rStyle w:val="rFootnRef"/>
        </w:rPr>
        <w:footnoteRef/>
      </w:r>
      <w:r>
        <w:t xml:space="preserve"> J. B. Lightfoot, </w:t>
      </w:r>
      <w:r>
        <w:rPr>
          <w:i/>
        </w:rPr>
        <w:t xml:space="preserve">St. Paul’s Epistles to the Colossians and to Philemon</w:t>
      </w:r>
      <w:r>
        <w:t xml:space="preserve">, 2nd ed., 335.</w:t>
      </w:r>
    </w:p>
  </w:footnote>
  <w:footnote w:id="16556">
    <w:p>
      <w:pPr>
        <w:pStyle w:val="rFootn"/>
      </w:pPr>
      <w:r>
        <w:rPr>
          <w:rStyle w:val="rFootnRef"/>
        </w:rPr>
        <w:footnoteRef/>
      </w:r>
      <w:r>
        <w:t xml:space="preserve"> Vincent, </w:t>
      </w:r>
      <w:r>
        <w:rPr>
          <w:i/>
        </w:rPr>
        <w:t xml:space="preserve">Word Studies in the New Testament</w:t>
      </w:r>
      <w:r>
        <w:t xml:space="preserve">, 3:516.</w:t>
      </w:r>
    </w:p>
  </w:footnote>
  <w:footnote w:id="13304">
    <w:p>
      <w:pPr>
        <w:pStyle w:val="rFootn"/>
      </w:pPr>
      <w:r>
        <w:rPr>
          <w:rStyle w:val="rFootnRef"/>
        </w:rPr>
        <w:footnoteRef/>
      </w:r>
      <w:r>
        <w:t xml:space="preserve"> Lohmeyer, </w:t>
      </w:r>
      <w:r>
        <w:rPr>
          <w:i/>
        </w:rPr>
        <w:t xml:space="preserve">Kolosser und Philemon</w:t>
      </w:r>
      <w:r>
        <w:t xml:space="preserve">, 178.</w:t>
      </w:r>
    </w:p>
  </w:footnote>
  <w:footnote w:id="18632">
    <w:p>
      <w:pPr>
        <w:pStyle w:val="rFootn"/>
      </w:pPr>
      <w:r>
        <w:rPr>
          <w:rStyle w:val="rFootnRef"/>
        </w:rPr>
        <w:footnoteRef/>
      </w:r>
      <w:r>
        <w:t xml:space="preserve"> Dibelious-Greeven, </w:t>
      </w:r>
      <w:r>
        <w:rPr>
          <w:i/>
        </w:rPr>
        <w:t xml:space="preserve">An die Kolosser, Epheser an Philemon</w:t>
      </w:r>
      <w:r>
        <w:t xml:space="preserve">, 103.</w:t>
      </w:r>
    </w:p>
  </w:footnote>
  <w:footnote w:id="32546">
    <w:p>
      <w:pPr>
        <w:pStyle w:val="rFootn"/>
      </w:pPr>
      <w:r>
        <w:rPr>
          <w:rStyle w:val="rFootnRef"/>
        </w:rPr>
        <w:footnoteRef/>
      </w:r>
      <w:r>
        <w:t xml:space="preserve"> J. Y. Campbell, Three New Testament Studies, Brill, 18.</w:t>
      </w:r>
    </w:p>
  </w:footnote>
  <w:footnote w:id="21375">
    <w:p>
      <w:pPr>
        <w:pStyle w:val="rFootn"/>
      </w:pPr>
      <w:r>
        <w:rPr>
          <w:rStyle w:val="rFootnRef"/>
        </w:rPr>
        <w:footnoteRef/>
      </w:r>
      <w:r>
        <w:t xml:space="preserve"> Lenski, </w:t>
      </w:r>
      <w:r>
        <w:rPr>
          <w:i/>
        </w:rPr>
        <w:t xml:space="preserve">Interpretation of Timothy, Titus and Philemon</w:t>
      </w:r>
      <w:r>
        <w:t xml:space="preserve">, 957.</w:t>
      </w:r>
    </w:p>
  </w:footnote>
  <w:footnote w:id="30987">
    <w:p>
      <w:pPr>
        <w:pStyle w:val="rFootn"/>
      </w:pPr>
      <w:r>
        <w:rPr>
          <w:rStyle w:val="rFootnRef"/>
        </w:rPr>
        <w:footnoteRef/>
      </w:r>
      <w:r>
        <w:t xml:space="preserve"> Dunn, </w:t>
      </w:r>
      <w:r>
        <w:rPr>
          <w:i/>
        </w:rPr>
        <w:t xml:space="preserve">The Epistles to the Colossians and to Philemon</w:t>
      </w:r>
      <w:r>
        <w:t xml:space="preserve"> [NIGTC].</w:t>
      </w:r>
    </w:p>
  </w:footnote>
  <w:footnote w:id="13215">
    <w:p>
      <w:pPr>
        <w:pStyle w:val="rFootn"/>
      </w:pPr>
      <w:r>
        <w:rPr>
          <w:rStyle w:val="rFootnRef"/>
        </w:rPr>
        <w:footnoteRef/>
      </w:r>
      <w:r>
        <w:t xml:space="preserve"> M. R. Vincent, </w:t>
      </w:r>
      <w:r>
        <w:rPr>
          <w:i/>
        </w:rPr>
        <w:t xml:space="preserve">Philippians and Philemon</w:t>
      </w:r>
      <w:r>
        <w:t xml:space="preserve"> [ICC], 190.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689433">
    <w:multiLevelType w:val="hybridMultilevel"/>
    <w:lvl w:ilvl="0" w:tplc="99177021">
      <w:start w:val="1"/>
      <w:numFmt w:val="decimal"/>
      <w:lvlText w:val="%1."/>
      <w:lvlJc w:val="left"/>
      <w:pPr>
        <w:ind w:left="720" w:hanging="360"/>
      </w:pPr>
    </w:lvl>
    <w:lvl w:ilvl="1" w:tplc="99177021" w:tentative="1">
      <w:start w:val="1"/>
      <w:numFmt w:val="lowerLetter"/>
      <w:lvlText w:val="%2."/>
      <w:lvlJc w:val="left"/>
      <w:pPr>
        <w:ind w:left="1440" w:hanging="360"/>
      </w:pPr>
    </w:lvl>
    <w:lvl w:ilvl="2" w:tplc="99177021" w:tentative="1">
      <w:start w:val="1"/>
      <w:numFmt w:val="lowerRoman"/>
      <w:lvlText w:val="%3."/>
      <w:lvlJc w:val="right"/>
      <w:pPr>
        <w:ind w:left="2160" w:hanging="180"/>
      </w:pPr>
    </w:lvl>
    <w:lvl w:ilvl="3" w:tplc="99177021" w:tentative="1">
      <w:start w:val="1"/>
      <w:numFmt w:val="decimal"/>
      <w:lvlText w:val="%4."/>
      <w:lvlJc w:val="left"/>
      <w:pPr>
        <w:ind w:left="2880" w:hanging="360"/>
      </w:pPr>
    </w:lvl>
    <w:lvl w:ilvl="4" w:tplc="99177021" w:tentative="1">
      <w:start w:val="1"/>
      <w:numFmt w:val="lowerLetter"/>
      <w:lvlText w:val="%5."/>
      <w:lvlJc w:val="left"/>
      <w:pPr>
        <w:ind w:left="3600" w:hanging="360"/>
      </w:pPr>
    </w:lvl>
    <w:lvl w:ilvl="5" w:tplc="99177021" w:tentative="1">
      <w:start w:val="1"/>
      <w:numFmt w:val="lowerRoman"/>
      <w:lvlText w:val="%6."/>
      <w:lvlJc w:val="right"/>
      <w:pPr>
        <w:ind w:left="4320" w:hanging="180"/>
      </w:pPr>
    </w:lvl>
    <w:lvl w:ilvl="6" w:tplc="99177021" w:tentative="1">
      <w:start w:val="1"/>
      <w:numFmt w:val="decimal"/>
      <w:lvlText w:val="%7."/>
      <w:lvlJc w:val="left"/>
      <w:pPr>
        <w:ind w:left="5040" w:hanging="360"/>
      </w:pPr>
    </w:lvl>
    <w:lvl w:ilvl="7" w:tplc="99177021" w:tentative="1">
      <w:start w:val="1"/>
      <w:numFmt w:val="lowerLetter"/>
      <w:lvlText w:val="%8."/>
      <w:lvlJc w:val="left"/>
      <w:pPr>
        <w:ind w:left="5760" w:hanging="360"/>
      </w:pPr>
    </w:lvl>
    <w:lvl w:ilvl="8" w:tplc="99177021" w:tentative="1">
      <w:start w:val="1"/>
      <w:numFmt w:val="lowerRoman"/>
      <w:lvlText w:val="%9."/>
      <w:lvlJc w:val="right"/>
      <w:pPr>
        <w:ind w:left="6480" w:hanging="180"/>
      </w:pPr>
    </w:lvl>
  </w:abstractNum>
  <w:abstractNum w:abstractNumId="11992">
    <w:multiLevelType w:val="hybridMultilevel"/>
    <w:lvl w:ilvl="0" w:tplc="674483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992">
    <w:abstractNumId w:val="11992"/>
  </w:num>
  <w:num w:numId="75689433">
    <w:abstractNumId w:val="756894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7528984" Type="http://schemas.openxmlformats.org/officeDocument/2006/relationships/numbering" Target="numbering.xml"/><Relationship Id="rId393037575" Type="http://schemas.openxmlformats.org/officeDocument/2006/relationships/comments" Target="comments.xml"/><Relationship Id="rId367567cdfa59325c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