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2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23129"/>
        </w:numPr>
        <w:spacing w:before="0" w:after="0" w:line="240" w:lineRule="auto"/>
        <w:rPr/>
      </w:pPr>
      <w:r>
        <w:rPr/>
        <w:t xml:space="preserve">“be no more” (Ps. 37:10; Prov. 10:25)</w:t>
      </w:r>
    </w:p>
    <w:p>
      <w:pPr>
        <w:numPr>
          <w:ilvl w:val="0"/>
          <w:numId w:val="23129"/>
        </w:numPr>
        <w:spacing w:before="0" w:after="0" w:line="240" w:lineRule="auto"/>
        <w:rPr/>
      </w:pPr>
      <w:r>
        <w:rPr/>
        <w:t xml:space="preserve">“be forever destroyed” (Ps. 92:7; cf. Ps. 73:17-19; cf. Ps. 145:20; Prov. 14:11)</w:t>
      </w:r>
    </w:p>
    <w:p>
      <w:pPr>
        <w:numPr>
          <w:ilvl w:val="0"/>
          <w:numId w:val="23129"/>
        </w:numPr>
        <w:spacing w:before="0" w:after="0" w:line="240" w:lineRule="auto"/>
        <w:rPr/>
      </w:pPr>
      <w:r>
        <w:rPr/>
        <w:t xml:space="preserve">“die” (Ezek. 18:4, 20; 33:13-16)</w:t>
      </w:r>
    </w:p>
    <w:p>
      <w:pPr>
        <w:numPr>
          <w:ilvl w:val="0"/>
          <w:numId w:val="23129"/>
        </w:numPr>
        <w:spacing w:before="0" w:after="0" w:line="240" w:lineRule="auto"/>
        <w:rPr/>
      </w:pPr>
      <w:r>
        <w:rPr/>
        <w:t xml:space="preserve">“perish” (Ps. 1:6; 37:20; Isa. 41:11)</w:t>
      </w:r>
    </w:p>
    <w:p>
      <w:pPr>
        <w:numPr>
          <w:ilvl w:val="0"/>
          <w:numId w:val="23129"/>
        </w:numPr>
        <w:spacing w:before="0" w:after="0" w:line="240" w:lineRule="auto"/>
        <w:rPr/>
      </w:pPr>
      <w:r>
        <w:rPr/>
        <w:t xml:space="preserve">“perish forever (Job 20:7)</w:t>
      </w:r>
    </w:p>
    <w:p>
      <w:pPr>
        <w:numPr>
          <w:ilvl w:val="0"/>
          <w:numId w:val="23129"/>
        </w:numPr>
        <w:spacing w:before="0" w:after="0" w:line="240" w:lineRule="auto"/>
        <w:rPr/>
      </w:pPr>
      <w:r>
        <w:rPr/>
        <w:t xml:space="preserve">“be as nothing” (Isa. 41:12)</w:t>
      </w:r>
    </w:p>
    <w:p>
      <w:pPr>
        <w:numPr>
          <w:ilvl w:val="0"/>
          <w:numId w:val="23129"/>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Appendix 15: “Usages of “Spirit.’”]</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the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826367cdfa5c011d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9780037"/>
      <w:docPartObj>
        <w:docPartGallery w:val="Page Numbers (Bottom of Page)"/>
        <w:docPartUnique/>
      </w:docPartObj>
    </w:sdtPr>
    <w:sdtContent>
      <w:sdt>
        <w:sdtPr>
          <w:id w:val="3901881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207336">
    <w:multiLevelType w:val="hybridMultilevel"/>
    <w:lvl w:ilvl="0" w:tplc="39124410">
      <w:start w:val="1"/>
      <w:numFmt w:val="decimal"/>
      <w:lvlText w:val="%1."/>
      <w:lvlJc w:val="left"/>
      <w:pPr>
        <w:ind w:left="720" w:hanging="360"/>
      </w:pPr>
    </w:lvl>
    <w:lvl w:ilvl="1" w:tplc="39124410" w:tentative="1">
      <w:start w:val="1"/>
      <w:numFmt w:val="lowerLetter"/>
      <w:lvlText w:val="%2."/>
      <w:lvlJc w:val="left"/>
      <w:pPr>
        <w:ind w:left="1440" w:hanging="360"/>
      </w:pPr>
    </w:lvl>
    <w:lvl w:ilvl="2" w:tplc="39124410" w:tentative="1">
      <w:start w:val="1"/>
      <w:numFmt w:val="lowerRoman"/>
      <w:lvlText w:val="%3."/>
      <w:lvlJc w:val="right"/>
      <w:pPr>
        <w:ind w:left="2160" w:hanging="180"/>
      </w:pPr>
    </w:lvl>
    <w:lvl w:ilvl="3" w:tplc="39124410" w:tentative="1">
      <w:start w:val="1"/>
      <w:numFmt w:val="decimal"/>
      <w:lvlText w:val="%4."/>
      <w:lvlJc w:val="left"/>
      <w:pPr>
        <w:ind w:left="2880" w:hanging="360"/>
      </w:pPr>
    </w:lvl>
    <w:lvl w:ilvl="4" w:tplc="39124410" w:tentative="1">
      <w:start w:val="1"/>
      <w:numFmt w:val="lowerLetter"/>
      <w:lvlText w:val="%5."/>
      <w:lvlJc w:val="left"/>
      <w:pPr>
        <w:ind w:left="3600" w:hanging="360"/>
      </w:pPr>
    </w:lvl>
    <w:lvl w:ilvl="5" w:tplc="39124410" w:tentative="1">
      <w:start w:val="1"/>
      <w:numFmt w:val="lowerRoman"/>
      <w:lvlText w:val="%6."/>
      <w:lvlJc w:val="right"/>
      <w:pPr>
        <w:ind w:left="4320" w:hanging="180"/>
      </w:pPr>
    </w:lvl>
    <w:lvl w:ilvl="6" w:tplc="39124410" w:tentative="1">
      <w:start w:val="1"/>
      <w:numFmt w:val="decimal"/>
      <w:lvlText w:val="%7."/>
      <w:lvlJc w:val="left"/>
      <w:pPr>
        <w:ind w:left="5040" w:hanging="360"/>
      </w:pPr>
    </w:lvl>
    <w:lvl w:ilvl="7" w:tplc="39124410" w:tentative="1">
      <w:start w:val="1"/>
      <w:numFmt w:val="lowerLetter"/>
      <w:lvlText w:val="%8."/>
      <w:lvlJc w:val="left"/>
      <w:pPr>
        <w:ind w:left="5760" w:hanging="360"/>
      </w:pPr>
    </w:lvl>
    <w:lvl w:ilvl="8" w:tplc="39124410" w:tentative="1">
      <w:start w:val="1"/>
      <w:numFmt w:val="lowerRoman"/>
      <w:lvlText w:val="%9."/>
      <w:lvlJc w:val="right"/>
      <w:pPr>
        <w:ind w:left="6480" w:hanging="180"/>
      </w:pPr>
    </w:lvl>
  </w:abstractNum>
  <w:abstractNum w:abstractNumId="23129">
    <w:multiLevelType w:val="hybridMultilevel"/>
    <w:lvl w:ilvl="0" w:tplc="299246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29">
    <w:abstractNumId w:val="23129"/>
  </w:num>
  <w:num w:numId="86207336">
    <w:abstractNumId w:val="862073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1166147" Type="http://schemas.openxmlformats.org/officeDocument/2006/relationships/numbering" Target="numbering.xml"/><Relationship Id="rId705406035" Type="http://schemas.openxmlformats.org/officeDocument/2006/relationships/comments" Target="comments.xml"/><Relationship Id="rId826367cdfa5c011d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