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6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rFootnRef"/>
        </w:rPr>
        <w:footnoteReference w:id="24689"/>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BDAG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rFootnRef"/>
        </w:rPr>
        <w:footnoteReference w:id="27886"/>
      </w:r>
    </w:p>
    <w:p>
      <w:pPr>
        <w:pStyle w:val="rNormal"/>
        <w:widowControl w:val="on"/>
        <w:spacing w:before="240" w:after="240" w:line="240" w:lineRule="auto"/>
        <w:ind w:left="0" w:right="0"/>
        <w:jc w:val="left"/>
      </w:pPr>
      <w:r>
        <w:rPr/>
        <w:t xml:space="preserve">[For more on “saved,” see the commentary on Romans 8:24, “have been saved” and the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rFootnRef"/>
        </w:rPr>
        <w:footnoteReference w:id="23222"/>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rFootnRef"/>
        </w:rPr>
        <w:footnoteReference w:id="13812"/>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3:4</w:t>
      </w:r>
    </w:p>
    <w:p>
      <w:pPr>
        <w:pStyle w:val="rNormal"/>
        <w:widowControl w:val="on"/>
        <w:spacing w:before="240" w:after="240" w:line="240" w:lineRule="auto"/>
        <w:ind w:left="0" w:right="0" w:firstLine="1"/>
        <w:jc w:val="left"/>
      </w:pPr>
      <w:r>
        <w:rPr>
          <w:b/>
          <w:bCs/>
        </w:rPr>
        <w:t xml:space="preserve">“in God through Christ.”</w:t>
      </w:r>
      <w:r>
        <w:rPr/>
        <w:t xml:space="preserve"> Literally, the Greek reads, “we have such confidence through Christ toward God,” but this is difficult to read in English. We would not say, “I have confidence toward God,” rather, we would place our confidence </w:t>
      </w:r>
      <w:r>
        <w:rPr>
          <w:i/>
          <w:iCs/>
        </w:rPr>
        <w:t xml:space="preserve">in</w:t>
      </w:r>
      <w:r>
        <w:rPr/>
        <w:t xml:space="preserve"> God. An alternate translation might read, “we have such confidence as this </w:t>
      </w:r>
      <w:r>
        <w:rPr>
          <w:i/>
          <w:iCs/>
        </w:rPr>
        <w:t xml:space="preserve">directed</w:t>
      </w:r>
      <w:r>
        <w:rPr/>
        <w:t xml:space="preserve"> to God through Christ.”</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in the aorist tense, and in this context, it is indicating a past event;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sufficient…servants of a new covenant.” Or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third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“servants.”</w:t>
      </w:r>
      <w:r>
        <w:rPr/>
        <w:t xml:space="preserve"> The Greek word translated “servant” is </w:t>
      </w:r>
      <w:r>
        <w:rPr>
          <w:i/>
          <w:iCs/>
        </w:rPr>
        <w:t xml:space="preserve">diakonos</w:t>
      </w:r>
      <w:r>
        <w:rPr/>
        <w:t xml:space="preserve"> (#1249 διάκονος), which refers to someone who carries out the commands of someone else, and thus is a servant, minister, or attendant. Because of the context, many translations use the word “minister,” but the problem with that translation is that it sets up a kind of false dichotomy between “servants” and “ministers,” especially when the modern English reader thinks of a “minister” as being a trained and ordained leader of a church, but the Latin word </w:t>
      </w:r>
      <w:r>
        <w:rPr>
          <w:i/>
          <w:iCs/>
        </w:rPr>
        <w:t xml:space="preserve">minister</w:t>
      </w:r>
      <w:r>
        <w:rPr/>
        <w:t xml:space="preserve">, which is the origin of the English word “minister,” simply meant “servant.” All Christians are servants of the New Covenant. We serve the wants and needs of God and help Him and the Lord Jesus with their work.</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rFootnRef"/>
        </w:rPr>
        <w:footnoteReference w:id="11682"/>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rFootnRef"/>
        </w:rPr>
        <w:footnoteReference w:id="18218"/>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rFootnRef"/>
        </w:rPr>
        <w:footnoteReference w:id="19993"/>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rFootnRef"/>
        </w:rPr>
        <w:footnoteReference w:id="23723"/>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the REV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rFootnRef"/>
        </w:rPr>
        <w:footnoteReference w:id="23395"/>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rFootnRef"/>
        </w:rPr>
        <w:footnoteReference w:id="24772"/>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rFootnRef"/>
        </w:rPr>
        <w:footnoteReference w:id="17075"/>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Appendix 16: “Usages of ‘Soul.’”]</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shows that it is possible to be confident of one’s salvation. A person gets saved by trusting that Jesus is Lord and that God has raised him from among the dead (Rom. 10:9). That is easy to do. Paul and Timothy, who are mentioned in 2 Corinthians 1:1, knew they were saved, and every believer can also know that. Christians do not have to be in fear or doubt that they will be saved.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rFootnRef"/>
        </w:rPr>
        <w:footnoteReference w:id="12290"/>
      </w:r>
      <w:r>
        <w:rPr/>
        <w:t xml:space="preserve"> That would make sense and fit with 1 Corinthians 15:42-44; Philippians 3:21, and 1 John 3:2, that we will have a spiritual body like Christ’s body. Thus 2 Corinthians 5:1 would be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rFootnRef"/>
        </w:rPr>
        <w:footnoteReference w:id="30106"/>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w:t>
      </w:r>
      <w:r>
        <w:rPr>
          <w:i/>
          <w:iCs/>
        </w:rPr>
        <w:t xml:space="preserve">Greek-English Lexicon</w:t>
      </w:r>
      <w:r>
        <w:rPr/>
        <w:t xml:space="preserve"> defines </w:t>
      </w:r>
      <w:r>
        <w:rPr>
          <w:i/>
          <w:iCs/>
        </w:rPr>
        <w:t xml:space="preserve">tharrheō</w:t>
      </w:r>
      <w:r>
        <w:rPr/>
        <w:t xml:space="preserve"> as “to have certainty in a matter; be confident, be courageous” and gives 2 Corinthians 5:6 and 5:8 as examples.</w:t>
      </w:r>
      <w:r>
        <w:rPr>
          <w:rStyle w:val="rFootnRef"/>
        </w:rPr>
        <w:footnoteReference w:id="30021"/>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rFootnRef"/>
        </w:rPr>
        <w:footnoteReference w:id="16155"/>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rFootnRef"/>
        </w:rPr>
        <w:footnoteReference w:id="18994"/>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rFootnRef"/>
        </w:rPr>
        <w:footnoteReference w:id="26494"/>
      </w:r>
    </w:p>
    <w:p>
      <w:pPr>
        <w:pStyle w:val="rNormal"/>
        <w:widowControl w:val="on"/>
        <w:spacing w:before="240" w:after="240" w:line="240" w:lineRule="auto"/>
        <w:ind w:left="0" w:right="0"/>
        <w:jc w:val="left"/>
      </w:pPr>
      <w:r>
        <w:rPr/>
        <w:t xml:space="preserve">A lot of the reason there is confusion about “faith,” is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24452"/>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rFootnRef"/>
        </w:rPr>
        <w:footnoteReference w:id="17097"/>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rFootnRef"/>
        </w:rPr>
        <w:footnoteReference w:id="22878"/>
      </w:r>
      <w:r>
        <w:rPr/>
        <w:t xml:space="preserve"> or “That is why.”</w:t>
      </w:r>
      <w:r>
        <w:rPr>
          <w:rStyle w:val="rFootnRef"/>
        </w:rPr>
        <w:footnoteReference w:id="11863"/>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rFootnRef"/>
        </w:rPr>
        <w:footnoteReference w:id="22205"/>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rFootnRef"/>
        </w:rPr>
        <w:footnoteReference w:id="25561"/>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rFootnRef"/>
        </w:rPr>
        <w:footnoteReference w:id="26752"/>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we understand the difference between salvation and rewards. “Salvation” refers to being saved; i.e., having everlasting life. “Rewards” refers to being given rewards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Also see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11117"/>
        </w:numPr>
        <w:spacing w:before="0" w:after="0" w:line="240" w:lineRule="auto"/>
        <w:rPr/>
      </w:pPr>
      <w:r>
        <w:rPr/>
        <w:t xml:space="preserve">builders (Isa. 54:12; 60:10; 61:4; Jer. 30:18; Ezek. 36:10, 33; Amos 9:14).</w:t>
      </w:r>
    </w:p>
    <w:p>
      <w:pPr>
        <w:numPr>
          <w:ilvl w:val="0"/>
          <w:numId w:val="11117"/>
        </w:numPr>
        <w:spacing w:before="0" w:after="0" w:line="240" w:lineRule="auto"/>
        <w:rPr/>
      </w:pPr>
      <w:r>
        <w:rPr/>
        <w:t xml:space="preserve">farmers (Isa. 30:23-24; 32:20; 61:5; 62:9; Ezek. 36:9, 34; 48:19; Amos 9:13).</w:t>
      </w:r>
    </w:p>
    <w:p>
      <w:pPr>
        <w:numPr>
          <w:ilvl w:val="0"/>
          <w:numId w:val="11117"/>
        </w:numPr>
        <w:spacing w:before="0" w:after="0" w:line="240" w:lineRule="auto"/>
        <w:rPr/>
      </w:pPr>
      <w:r>
        <w:rPr/>
        <w:t xml:space="preserve">herdsmen (Isa. 30:23-24; 60:6-7; 61:5; Jer. 31:12).</w:t>
      </w:r>
    </w:p>
    <w:p>
      <w:pPr>
        <w:numPr>
          <w:ilvl w:val="0"/>
          <w:numId w:val="11117"/>
        </w:numPr>
        <w:spacing w:before="0" w:after="0" w:line="240" w:lineRule="auto"/>
        <w:rPr/>
      </w:pPr>
      <w:r>
        <w:rPr/>
        <w:t xml:space="preserve">vinedressers and vintners (Isa. 25:6; 62:8; Jer. 31:5; Amos 9:13).</w:t>
      </w:r>
    </w:p>
    <w:p>
      <w:pPr>
        <w:numPr>
          <w:ilvl w:val="0"/>
          <w:numId w:val="11117"/>
        </w:numPr>
        <w:spacing w:before="0" w:after="0" w:line="240" w:lineRule="auto"/>
        <w:rPr/>
      </w:pPr>
      <w:r>
        <w:rPr/>
        <w:t xml:space="preserve">metalworkers (Isa. 2:4; 60:17; Mic. 4:3).</w:t>
      </w:r>
    </w:p>
    <w:p>
      <w:pPr>
        <w:numPr>
          <w:ilvl w:val="0"/>
          <w:numId w:val="11117"/>
        </w:numPr>
        <w:spacing w:before="0" w:after="0" w:line="240" w:lineRule="auto"/>
        <w:rPr/>
      </w:pPr>
      <w:r>
        <w:rPr/>
        <w:t xml:space="preserve">fishermen (Ezek. 47:10).</w:t>
      </w:r>
    </w:p>
    <w:p>
      <w:pPr>
        <w:numPr>
          <w:ilvl w:val="0"/>
          <w:numId w:val="11117"/>
        </w:numPr>
        <w:spacing w:before="0" w:after="0" w:line="240" w:lineRule="auto"/>
        <w:rPr/>
      </w:pPr>
      <w:r>
        <w:rPr/>
        <w:t xml:space="preserve">landscapers (Isa. 60:13).</w:t>
      </w:r>
    </w:p>
    <w:p>
      <w:pPr>
        <w:numPr>
          <w:ilvl w:val="0"/>
          <w:numId w:val="11117"/>
        </w:numPr>
        <w:spacing w:before="0" w:after="0" w:line="240" w:lineRule="auto"/>
        <w:rPr/>
      </w:pPr>
      <w:r>
        <w:rPr/>
        <w:t xml:space="preserve">servants (Isa. 14:2).</w:t>
      </w:r>
    </w:p>
    <w:p>
      <w:pPr>
        <w:numPr>
          <w:ilvl w:val="0"/>
          <w:numId w:val="11117"/>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w:t>
      </w:r>
    </w:p>
    <w:p>
      <w:pPr>
        <w:numPr>
          <w:ilvl w:val="0"/>
          <w:numId w:val="11117"/>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11117"/>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11117"/>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11117"/>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11117"/>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11117"/>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11117"/>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11117"/>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11117"/>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11117"/>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are saved and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11117"/>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11117"/>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information on Christian salvation, see Appendix 10: “God’s Promise of Salvation.” For more on sin not causing a person to lose their salvation, see commentary on Gal. 5:21. For more on “inheritance” referring to rewards, see commentary on Acts 7:5.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rFootnRef"/>
        </w:rPr>
        <w:footnoteReference w:id="11579"/>
      </w:r>
      <w:r>
        <w:rPr/>
        <w:t xml:space="preserve"> or durative “we are busy persuading.”</w:t>
      </w:r>
      <w:r>
        <w:rPr>
          <w:rStyle w:val="rFootnRef"/>
        </w:rPr>
        <w:footnoteReference w:id="23922"/>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Lenski correctly points out, “the subject of…[‘become’] is not drawn from παρῆλθεν; ‘have become new’ contains its own subject, one that is implied in καινά.” which contains its own subject.</w:t>
      </w:r>
      <w:r>
        <w:rPr>
          <w:rStyle w:val="rFootnRef"/>
        </w:rPr>
        <w:footnoteReference w:id="15411"/>
      </w:r>
      <w:r>
        <w:rPr/>
        <w:t xml:space="preserve"> The KJV imports “all things” from Revelation 21:5, but obviously, not everything becomes new when someone is born again, just the things inside that believer. The Revised Version and the ASV, which have “they have become new,” misses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rFootnRef"/>
        </w:rPr>
        <w:footnoteReference w:id="29598"/>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rFootnRef"/>
        </w:rPr>
        <w:footnoteReference w:id="20639"/>
      </w:r>
      <w:r>
        <w:rPr/>
        <w:t xml:space="preserve"> God reconciled us to himself “through”</w:t>
      </w:r>
      <w:r>
        <w:rPr>
          <w:rStyle w:val="rFootnRef"/>
        </w:rPr>
        <w:footnoteReference w:id="29008"/>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rFootnRef"/>
        </w:rPr>
        <w:footnoteReference w:id="31633"/>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rFootnRef"/>
        </w:rPr>
        <w:footnoteReference w:id="20186"/>
      </w:r>
      <w:r>
        <w:rPr/>
        <w:t xml:space="preserve"> Where the ellipse appears in the quotation, there are a number of references to ancient works to substantiate the point. )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rFootnRef"/>
        </w:rPr>
        <w:footnoteReference w:id="31176"/>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rFootnRef"/>
        </w:rPr>
        <w:footnoteReference w:id="21544"/>
      </w:r>
      <w:r>
        <w:rPr/>
        <w:t xml:space="preserve"> and the Zondervan Pictorial Encyclopedia of the Bible lists both “sin” and “sin offering” under “sin” as a translation of </w:t>
      </w:r>
      <w:r>
        <w:rPr>
          <w:i/>
          <w:iCs/>
        </w:rPr>
        <w:t xml:space="preserve">hamartia</w:t>
      </w:r>
      <w:r>
        <w:rPr/>
        <w:t xml:space="preserve">.</w:t>
      </w:r>
      <w:r>
        <w:rPr>
          <w:rStyle w:val="rFootnRef"/>
        </w:rPr>
        <w:footnoteReference w:id="10191"/>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rFootnRef"/>
        </w:rPr>
        <w:footnoteReference w:id="15210"/>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rFootnRef"/>
        </w:rPr>
        <w:footnoteReference w:id="22074"/>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rFootnRef"/>
        </w:rPr>
        <w:footnoteReference w:id="29178"/>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rFootnRef"/>
        </w:rPr>
        <w:footnoteReference w:id="17545"/>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rFootnRef"/>
        </w:rPr>
        <w:footnoteReference w:id="11296"/>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trespass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 CSB, NIV).</w:t>
      </w:r>
    </w:p>
    <w:p>
      <w:pPr>
        <w:pStyle w:val="rNormal"/>
        <w:widowControl w:val="on"/>
        <w:spacing w:before="240" w:after="240" w:line="240" w:lineRule="auto"/>
        <w:ind w:left="0" w:right="0"/>
        <w:jc w:val="left"/>
      </w:pPr>
      <w:r>
        <w:rPr/>
        <w:t xml:space="preserve">The primacy of God continues in 2 Corinthians 5:18, which says, “all this is from God, who…gave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“working together </w:t>
      </w:r>
      <w:r>
        <w:rPr>
          <w:i/>
          <w:iCs/>
        </w:rPr>
        <w:t xml:space="preserve">with God.</w:t>
      </w:r>
      <w:r>
        <w:rPr/>
        <w:t xml:space="preserve">”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ASV).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rFootnRef"/>
        </w:rPr>
        <w:footnoteReference w:id="22977"/>
      </w:r>
      <w:r>
        <w:rPr/>
        <w:t xml:space="preserve"> Thus, here Paul could be entreating the Corinthians not to receive the grace of God, but then have no real fruit from it. Heinz Cassirer (</w:t>
      </w:r>
      <w:r>
        <w:rPr>
          <w:i/>
          <w:iCs/>
        </w:rPr>
        <w:t xml:space="preserve">God’s New Covenant</w:t>
      </w:r>
      <w:r>
        <w:rPr/>
        <w:t xml:space="preserve">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away so they assure themselves a place in the Kingdom and also can begin to store up rewards for themselves.</w:t>
      </w:r>
    </w:p>
    <w:p>
      <w:pPr>
        <w:pStyle w:val="rNormal"/>
        <w:widowControl w:val="on"/>
        <w:spacing w:before="240" w:after="240" w:line="240" w:lineRule="auto"/>
        <w:ind w:left="0" w:right="0"/>
        <w:jc w:val="left"/>
      </w:pPr>
      <w:r>
        <w:rPr/>
        <w:t xml:space="preserve">[For more on “Look,” see commentary on Matt. 1:20. Also, see Word Study: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2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even can grow in character. As the minister lives day after day and year after year, he will pass through good times and bad. The minister of the Gospel works while some of his experiences are good and some are bad; some people are lauding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rFootnRef"/>
        </w:rPr>
        <w:footnoteReference w:id="20117"/>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rFootnRef"/>
        </w:rPr>
        <w:footnoteReference w:id="28817"/>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 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This is the figure of speech interjectio, or interjection.</w:t>
      </w:r>
      <w:r>
        <w:rPr>
          <w:rStyle w:val="rFootnRef"/>
        </w:rPr>
        <w:footnoteReference w:id="17599"/>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rFootnRef"/>
        </w:rPr>
        <w:footnoteReference w:id="1571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rFootnRef"/>
        </w:rPr>
        <w:footnoteReference w:id="18244"/>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rFootnRef"/>
        </w:rPr>
        <w:footnoteReference w:id="15478"/>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NET, NIV.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(Heb. 4:15). Another thing that Jesus did by living as he did was set a wonderful example for us. 1 Peter 2:21 says, “Christ also suffered for you, leaving you an example so that you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 Also see Appendix 6: “Jesus is the Son of God, Not God the Son.”]</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rFootnRef"/>
        </w:rPr>
        <w:footnoteReference w:id="32005"/>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rFootnRef"/>
        </w:rPr>
        <w:footnoteReference w:id="1115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rFootnRef"/>
        </w:rPr>
        <w:footnoteReference w:id="16011"/>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NET, NIV, NRSV).</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rFootnRef"/>
        </w:rPr>
        <w:footnoteReference w:id="32292"/>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HCSB, NAB, NASB, NET, NIV, NRSV).</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rFootnRef"/>
        </w:rPr>
        <w:footnoteReference w:id="13159"/>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r>
        <w:rPr>
          <w:rStyle w:val="rFootnRef"/>
        </w:rPr>
        <w:footnoteReference w:id="27939"/>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10817"/>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rFootnRef"/>
        </w:rPr>
        <w:footnoteReference w:id="21706"/>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rFootnRef"/>
        </w:rPr>
        <w:footnoteReference w:id="11394"/>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rFootnRef"/>
        </w:rPr>
        <w:footnoteReference w:id="29595"/>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judging by appearances”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NASB, NIV. From </w:t>
      </w:r>
      <w:r>
        <w:rPr>
          <w:i/>
          <w:iCs/>
        </w:rPr>
        <w:t xml:space="preserve">asthenēs</w:t>
      </w:r>
      <w:r>
        <w:rPr/>
        <w:t xml:space="preserve"> (#772 ἀσθενής), literally, “weak,” although here it carries the connotation of being physically “unimpressive.”</w:t>
      </w:r>
      <w:r>
        <w:rPr>
          <w:rStyle w:val="rFootnRef"/>
        </w:rPr>
        <w:footnoteReference w:id="22614"/>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rFootnRef"/>
        </w:rPr>
        <w:footnoteReference w:id="31834"/>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clear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rFootnRef"/>
        </w:rPr>
        <w:footnoteReference w:id="21674"/>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 the judge is to make him lie down and be beaten in his presence, according to his guilt, </w:t>
      </w:r>
      <w:r>
        <w:rPr>
          <w:i/>
          <w:iCs/>
        </w:rPr>
        <w:t xml:space="preserve">and</w:t>
      </w:r>
      <w:r>
        <w:rPr/>
        <w:t xml:space="preserve"> by number. He may give him 40 lashes. He is not to exceed </w:t>
      </w:r>
      <w:r>
        <w:rPr>
          <w:i/>
          <w:iCs/>
        </w:rPr>
        <w:t xml:space="preserve">that number,</w:t>
      </w:r>
      <w:r>
        <w:rPr/>
        <w:t xml:space="preserve"> lest, if he should exceed it and beat him with many more lashes than these, then your brother would be contemptible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rFootnRef"/>
        </w:rPr>
        <w:footnoteReference w:id="19717"/>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rFootnRef"/>
        </w:rPr>
        <w:footnoteReference w:id="16382"/>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rFootnRef"/>
        </w:rPr>
        <w:footnoteReference w:id="13905"/>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rFootnRef"/>
        </w:rPr>
        <w:footnoteReference w:id="29866"/>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benefit, but the </w:t>
      </w:r>
      <w:r>
        <w:rPr>
          <w:i/>
          <w:iCs/>
        </w:rPr>
        <w:t xml:space="preserve">benefit</w:t>
      </w:r>
      <w:r>
        <w:rPr/>
        <w:t xml:space="preserve"> of the many </w:t>
      </w:r>
      <w:r>
        <w:rPr>
          <w:i/>
          <w:iCs/>
        </w:rPr>
        <w:t xml:space="preserve">who do not believe</w:t>
      </w:r>
      <w:r>
        <w:rPr/>
        <w:t xml:space="preserve">, so that they might be saved. Be imitators of me, just as I also am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(There are some non-canonical books that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cf. NIV)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2:5-8),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were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NASB1995;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it—a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just as I also am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rFootnRef"/>
        </w:rPr>
        <w:footnoteReference w:id="22329"/>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rFootnRef"/>
        </w:rPr>
        <w:footnoteReference w:id="31989"/>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rFootnRef"/>
        </w:rPr>
        <w:footnoteReference w:id="14224"/>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rFootnRef"/>
        </w:rPr>
        <w:footnoteReference w:id="29152"/>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rFootnRef"/>
        </w:rPr>
        <w:footnoteReference w:id="30672"/>
      </w:r>
      <w:r>
        <w:rPr/>
        <w:t xml:space="preserve"> or “an inflated, puffed up, exaggerated view of one’s own importance”</w:t>
      </w:r>
      <w:r>
        <w:rPr>
          <w:rStyle w:val="rFootnRef"/>
        </w:rPr>
        <w:footnoteReference w:id="16959"/>
      </w:r>
      <w:r>
        <w:rPr/>
        <w:t xml:space="preserve">—in other words, </w:t>
      </w:r>
      <w:r>
        <w:rPr>
          <w:i/>
          <w:iCs/>
        </w:rPr>
        <w:t xml:space="preserve">arrogance</w:t>
      </w:r>
      <w:r>
        <w:rPr/>
        <w:t xml:space="preserve">. Paul is referring to the phenomenon that often happens in arguments when love for the other person and what is right are pushed aside by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2562"/>
      </w:r>
      <w:r>
        <w:rPr/>
        <w:t xml:space="preserve"> “in a moral sense, the impurity of lustful, luxurious, profligate living; used of impure motives in 1 Thess. 2:3.</w:t>
      </w:r>
      <w:r>
        <w:rPr>
          <w:rStyle w:val="rFootnRef"/>
        </w:rPr>
        <w:footnoteReference w:id="27982"/>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rFootnRef"/>
        </w:rPr>
        <w:footnoteReference w:id="24039"/>
      </w:r>
      <w:r>
        <w:rPr/>
        <w:t xml:space="preserve"> It occasionally happened that false believers infiltrated the Church (cf. Gal. 2:4). To be saved, a person had to confess that Christ was his Lord and believe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ASV, KJV, NIV84, NRSV) or as a command to “rejoice” (cf. ESV, HCSB, NAB, NASB, NET).</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r>
        <w:br w:type="page"/>
      </w:r>
    </w:p>
    <w:sectPr xmlns:w="http://schemas.openxmlformats.org/wordprocessingml/2006/main" w:rsidR="00044D3F" w:rsidSect="001A2279">
      <w:footerReference xmlns:r="http://schemas.openxmlformats.org/officeDocument/2006/relationships" w:type="default" r:id="rId566067cdfa553bf0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450129"/>
      <w:docPartObj>
        <w:docPartGallery w:val="Page Numbers (Bottom of Page)"/>
        <w:docPartUnique/>
      </w:docPartObj>
    </w:sdtPr>
    <w:sdtContent>
      <w:sdt>
        <w:sdtPr>
          <w:id w:val="7326211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689">
    <w:p>
      <w:pPr>
        <w:pStyle w:val="rFootn"/>
      </w:pPr>
      <w:r>
        <w:rPr>
          <w:rStyle w:val="rFootnRef"/>
        </w:rPr>
        <w:footnoteRef/>
      </w:r>
      <w:r>
        <w:t xml:space="preserve"> Cf. Heinrich Meyer, </w:t>
      </w:r>
      <w:r>
        <w:rPr>
          <w:i/>
        </w:rPr>
        <w:t xml:space="preserve">Critical and Exegetical Handbook to the Epistles to the Corinthians</w:t>
      </w:r>
      <w:r>
        <w:t xml:space="preserve">, 164; The International Critical Commentary.</w:t>
      </w:r>
    </w:p>
  </w:footnote>
  <w:footnote w:id="27886">
    <w:p>
      <w:pPr>
        <w:pStyle w:val="rFootn"/>
      </w:pPr>
      <w:r>
        <w:rPr>
          <w:rStyle w:val="rFootnRef"/>
        </w:rPr>
        <w:footnoteRef/>
      </w:r>
      <w:r>
        <w:t xml:space="preserve"> Cf. Ralph Martin, </w:t>
      </w:r>
      <w:r>
        <w:rPr>
          <w:i/>
        </w:rPr>
        <w:t xml:space="preserve">2 Corinthians</w:t>
      </w:r>
      <w:r>
        <w:t xml:space="preserve"> [WBC].</w:t>
      </w:r>
    </w:p>
  </w:footnote>
  <w:footnote w:id="23222">
    <w:p>
      <w:pPr>
        <w:pStyle w:val="rFootn"/>
      </w:pPr>
      <w:r>
        <w:rPr>
          <w:rStyle w:val="rFootnRef"/>
        </w:rPr>
        <w:footnoteRef/>
      </w:r>
      <w:r>
        <w:t xml:space="preserve"> BDAG, s.v. “ἀπόλλυμι.”</w:t>
      </w:r>
    </w:p>
  </w:footnote>
  <w:footnote w:id="13812">
    <w:p>
      <w:pPr>
        <w:pStyle w:val="rFootn"/>
      </w:pPr>
      <w:r>
        <w:rPr>
          <w:rStyle w:val="rFootnRef"/>
        </w:rPr>
        <w:footnoteRef/>
      </w:r>
      <w:r>
        <w:t xml:space="preserve"> BDAG, s.v. “καπηλεύω.”</w:t>
      </w:r>
    </w:p>
  </w:footnote>
  <w:footnote w:id="11682">
    <w:p>
      <w:pPr>
        <w:pStyle w:val="rFootn"/>
      </w:pPr>
      <w:r>
        <w:rPr>
          <w:rStyle w:val="rFootnRef"/>
        </w:rPr>
        <w:footnoteRef/>
      </w:r>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p>
  </w:footnote>
  <w:footnote w:id="18218">
    <w:p>
      <w:pPr>
        <w:pStyle w:val="rFootn"/>
      </w:pPr>
      <w:r>
        <w:rPr>
          <w:rStyle w:val="rFootnRef"/>
        </w:rPr>
        <w:footnoteRef/>
      </w:r>
      <w:r>
        <w:t xml:space="preserve"> Also, W. E. Vine, </w:t>
      </w:r>
      <w:r>
        <w:rPr>
          <w:i/>
        </w:rPr>
        <w:t xml:space="preserve">Lexicon</w:t>
      </w:r>
      <w:r>
        <w:t xml:space="preserve">; R. C. Trench, </w:t>
      </w:r>
      <w:r>
        <w:rPr>
          <w:i/>
        </w:rPr>
        <w:t xml:space="preserve">Synonyms</w:t>
      </w:r>
      <w:r>
        <w:t xml:space="preserve">, 217-18.</w:t>
      </w:r>
    </w:p>
  </w:footnote>
  <w:footnote w:id="19993">
    <w:p>
      <w:pPr>
        <w:pStyle w:val="rFootn"/>
      </w:pPr>
      <w:r>
        <w:rPr>
          <w:rStyle w:val="rFootnRef"/>
        </w:rPr>
        <w:footnoteRef/>
      </w:r>
      <w:r>
        <w:t xml:space="preserve"> Bullinger, </w:t>
      </w:r>
      <w:r>
        <w:rPr>
          <w:i/>
        </w:rPr>
        <w:t xml:space="preserve">Figures of Speech</w:t>
      </w:r>
      <w:r>
        <w:t xml:space="preserve">, 804-06, “amphibologia.”</w:t>
      </w:r>
    </w:p>
  </w:footnote>
  <w:footnote w:id="23723">
    <w:p>
      <w:pPr>
        <w:pStyle w:val="rFootn"/>
      </w:pPr>
      <w:r>
        <w:rPr>
          <w:rStyle w:val="rFootnRef"/>
        </w:rPr>
        <w:footnoteRef/>
      </w:r>
      <w:r>
        <w:t xml:space="preserve"> Cf. Kistemaker, </w:t>
      </w:r>
      <w:r>
        <w:rPr>
          <w:i/>
        </w:rPr>
        <w:t xml:space="preserve">New Testament Commentary</w:t>
      </w:r>
      <w:r>
        <w:t xml:space="preserve">.</w:t>
      </w:r>
    </w:p>
  </w:footnote>
  <w:footnote w:id="23395">
    <w:p>
      <w:pPr>
        <w:pStyle w:val="rFootn"/>
      </w:pPr>
      <w:r>
        <w:rPr>
          <w:rStyle w:val="rFootnRef"/>
        </w:rPr>
        <w:footnoteRef/>
      </w:r>
      <w:r>
        <w:t xml:space="preserve"> R. C. H. Lenski, </w:t>
      </w:r>
      <w:r>
        <w:rPr>
          <w:i/>
        </w:rPr>
        <w:t xml:space="preserve">The Interpretation of St. Paul’s First and Second Epistles to the Corinthians</w:t>
      </w:r>
      <w:r>
        <w:t xml:space="preserve">, 978-79.</w:t>
      </w:r>
    </w:p>
  </w:footnote>
  <w:footnote w:id="24772">
    <w:p>
      <w:pPr>
        <w:pStyle w:val="rFootn"/>
      </w:pPr>
      <w:r>
        <w:rPr>
          <w:rStyle w:val="rFootnRef"/>
        </w:rPr>
        <w:footnoteRef/>
      </w:r>
      <w:r>
        <w:t xml:space="preserve"> Philip Hughes, </w:t>
      </w:r>
      <w:r>
        <w:rPr>
          <w:i/>
        </w:rPr>
        <w:t xml:space="preserve">The Second Epistle to the Corinthians</w:t>
      </w:r>
      <w:r>
        <w:t xml:space="preserve"> [NICNT], 145.</w:t>
      </w:r>
    </w:p>
  </w:footnote>
  <w:footnote w:id="17075">
    <w:p>
      <w:pPr>
        <w:pStyle w:val="rFootn"/>
      </w:pPr>
      <w:r>
        <w:rPr>
          <w:rStyle w:val="rFootnRef"/>
        </w:rPr>
        <w:footnoteRef/>
      </w:r>
      <w:r>
        <w:t xml:space="preserve"> Kistemaker, </w:t>
      </w:r>
      <w:r>
        <w:rPr>
          <w:i/>
        </w:rPr>
        <w:t xml:space="preserve">New Testament Commentary</w:t>
      </w:r>
      <w:r>
        <w:t xml:space="preserve">.</w:t>
      </w:r>
    </w:p>
  </w:footnote>
  <w:footnote w:id="12290">
    <w:p>
      <w:pPr>
        <w:pStyle w:val="rFootn"/>
      </w:pPr>
      <w:r>
        <w:rPr>
          <w:rStyle w:val="rFootnRef"/>
        </w:rPr>
        <w:footnoteRef/>
      </w:r>
      <w:r>
        <w:t xml:space="preserve"> Murray J. Harris, </w:t>
      </w:r>
      <w:r>
        <w:rPr>
          <w:i/>
        </w:rPr>
        <w:t xml:space="preserve">The Second Epistle to the Corinthians</w:t>
      </w:r>
      <w:r>
        <w:t xml:space="preserve"> [NIGTC], 369-380.</w:t>
      </w:r>
    </w:p>
  </w:footnote>
  <w:footnote w:id="30106">
    <w:p>
      <w:pPr>
        <w:pStyle w:val="rFootn"/>
      </w:pPr>
      <w:r>
        <w:rPr>
          <w:rStyle w:val="rFootnRef"/>
        </w:rPr>
        <w:footnoteRef/>
      </w:r>
      <w:r>
        <w:t xml:space="preserve"> BDAG </w:t>
      </w:r>
      <w:r>
        <w:rPr>
          <w:i/>
        </w:rPr>
        <w:t xml:space="preserve">Greek-English Lexicon</w:t>
      </w:r>
      <w:r>
        <w:t xml:space="preserve">, s.v. “κατεργάζομαι.”</w:t>
      </w:r>
    </w:p>
  </w:footnote>
  <w:footnote w:id="30021">
    <w:p>
      <w:pPr>
        <w:pStyle w:val="rFootn"/>
      </w:pPr>
      <w:r>
        <w:rPr>
          <w:rStyle w:val="rFootnRef"/>
        </w:rPr>
        <w:footnoteRef/>
      </w:r>
      <w:r>
        <w:t xml:space="preserve"> BDAG, s.v. “θαρρέω.”</w:t>
      </w:r>
    </w:p>
  </w:footnote>
  <w:footnote w:id="16155">
    <w:p>
      <w:pPr>
        <w:pStyle w:val="rFootn"/>
      </w:pPr>
      <w:r>
        <w:rPr>
          <w:rStyle w:val="rFootnRef"/>
        </w:rPr>
        <w:footnoteRef/>
      </w:r>
      <w:r>
        <w:t xml:space="preserve"> Friberg, s.v. “θαρρέω.”</w:t>
      </w:r>
    </w:p>
  </w:footnote>
  <w:footnote w:id="18994">
    <w:p>
      <w:pPr>
        <w:pStyle w:val="rFootn"/>
      </w:pPr>
      <w:r>
        <w:rPr>
          <w:rStyle w:val="rFootnRef"/>
        </w:rPr>
        <w:footnoteRef/>
      </w:r>
      <w:r>
        <w:t xml:space="preserve"> Liddell and Scott, </w:t>
      </w:r>
      <w:r>
        <w:rPr>
          <w:i/>
        </w:rPr>
        <w:t xml:space="preserve">Greek-English Lexicon</w:t>
      </w:r>
      <w:r>
        <w:t xml:space="preserve">, s.v. “πίστις.”</w:t>
      </w:r>
    </w:p>
  </w:footnote>
  <w:footnote w:id="26494">
    <w:p>
      <w:pPr>
        <w:pStyle w:val="rFootn"/>
      </w:pPr>
      <w:r>
        <w:rPr>
          <w:rStyle w:val="rFootnRef"/>
        </w:rPr>
        <w:footnoteRef/>
      </w:r>
      <w:r>
        <w:t xml:space="preserve"> </w:t>
      </w:r>
      <w:r>
        <w:rPr>
          <w:i/>
        </w:rPr>
        <w:t xml:space="preserve">Merriam-Webster Dictionary</w:t>
      </w:r>
    </w:p>
  </w:footnote>
  <w:footnote w:id="24452">
    <w:p>
      <w:pPr>
        <w:pStyle w:val="rFootn"/>
      </w:pPr>
      <w:r>
        <w:rPr>
          <w:rStyle w:val="rFootnRef"/>
        </w:rPr>
        <w:footnoteRef/>
      </w:r>
      <w:r>
        <w:t xml:space="preserve"> </w:t>
      </w:r>
      <w:r>
        <w:rPr>
          <w:i/>
        </w:rPr>
        <w:t xml:space="preserve">Merriam-Webster Dictionary</w:t>
      </w:r>
      <w:r>
        <w:t xml:space="preserve">, s.v. “faith.”</w:t>
      </w:r>
    </w:p>
  </w:footnote>
  <w:footnote w:id="17097">
    <w:p>
      <w:pPr>
        <w:pStyle w:val="rFootn"/>
      </w:pPr>
      <w:r>
        <w:rPr>
          <w:rStyle w:val="rFootnRef"/>
        </w:rPr>
        <w:footnoteRef/>
      </w:r>
      <w:r>
        <w:t xml:space="preserve"> BDAG and </w:t>
      </w:r>
      <w:r>
        <w:rPr>
          <w:i/>
        </w:rPr>
        <w:t xml:space="preserve">EDNT</w:t>
      </w:r>
      <w:r>
        <w:t xml:space="preserve">, s.v. “εὐδοκέω.”</w:t>
      </w:r>
    </w:p>
  </w:footnote>
  <w:footnote w:id="22878">
    <w:p>
      <w:pPr>
        <w:pStyle w:val="rFootn"/>
      </w:pPr>
      <w:r>
        <w:rPr>
          <w:rStyle w:val="rFootnRef"/>
        </w:rPr>
        <w:footnoteRef/>
      </w:r>
      <w:r>
        <w:t xml:space="preserve"> Ralph Martin, </w:t>
      </w:r>
      <w:r>
        <w:rPr>
          <w:i/>
        </w:rPr>
        <w:t xml:space="preserve">2 Corinthians</w:t>
      </w:r>
      <w:r>
        <w:t xml:space="preserve">, [WBC]; Moule, </w:t>
      </w:r>
      <w:r>
        <w:rPr>
          <w:i/>
        </w:rPr>
        <w:t xml:space="preserve">An Idiom Book of New Testament Greek</w:t>
      </w:r>
      <w:r>
        <w:t xml:space="preserve">, 164.</w:t>
      </w:r>
    </w:p>
  </w:footnote>
  <w:footnote w:id="11863">
    <w:p>
      <w:pPr>
        <w:pStyle w:val="rFootn"/>
      </w:pPr>
      <w:r>
        <w:rPr>
          <w:rStyle w:val="rFootnRef"/>
        </w:rPr>
        <w:footnoteRef/>
      </w:r>
      <w:r>
        <w:t xml:space="preserve"> Murray Harris, </w:t>
      </w:r>
      <w:r>
        <w:rPr>
          <w:i/>
        </w:rPr>
        <w:t xml:space="preserve">The Second Epistle to the Corinthians</w:t>
      </w:r>
      <w:r>
        <w:t xml:space="preserve"> [NIGTC], 403.</w:t>
      </w:r>
    </w:p>
  </w:footnote>
  <w:footnote w:id="22205">
    <w:p>
      <w:pPr>
        <w:pStyle w:val="rFootn"/>
      </w:pPr>
      <w:r>
        <w:rPr>
          <w:rStyle w:val="rFootnRef"/>
        </w:rPr>
        <w:footnoteRef/>
      </w:r>
      <w:r>
        <w:t xml:space="preserve"> Cf. Ann Nyland, </w:t>
      </w:r>
      <w:r>
        <w:rPr>
          <w:i/>
        </w:rPr>
        <w:t xml:space="preserve">The Source New Testament</w:t>
      </w:r>
      <w:r>
        <w:t xml:space="preserve">, 340.</w:t>
      </w:r>
    </w:p>
  </w:footnote>
  <w:footnote w:id="25561">
    <w:p>
      <w:pPr>
        <w:pStyle w:val="rFootn"/>
      </w:pPr>
      <w:r>
        <w:rPr>
          <w:rStyle w:val="rFootnRef"/>
        </w:rPr>
        <w:footnoteRef/>
      </w:r>
      <w:r>
        <w:t xml:space="preserve"> Philip Hughes, </w:t>
      </w:r>
      <w:r>
        <w:rPr>
          <w:i/>
        </w:rPr>
        <w:t xml:space="preserve">The Second Epistle to the Corinthians</w:t>
      </w:r>
      <w:r>
        <w:t xml:space="preserve"> [NICNT], 180.</w:t>
      </w:r>
    </w:p>
  </w:footnote>
  <w:footnote w:id="26752">
    <w:p>
      <w:pPr>
        <w:pStyle w:val="rFootn"/>
      </w:pPr>
      <w:r>
        <w:rPr>
          <w:rStyle w:val="rFootnRef"/>
        </w:rPr>
        <w:footnoteRef/>
      </w:r>
      <w:r>
        <w:t xml:space="preserve"> Vine, T</w:t>
      </w:r>
      <w:r>
        <w:rPr>
          <w:i/>
        </w:rPr>
        <w:t xml:space="preserve">he Expanded Vine’s Expository Dictionary</w:t>
      </w:r>
      <w:r>
        <w:t xml:space="preserve">, s.v. “judgment-seat,” 612.</w:t>
      </w:r>
    </w:p>
  </w:footnote>
  <w:footnote w:id="11579">
    <w:p>
      <w:pPr>
        <w:pStyle w:val="rFootn"/>
      </w:pPr>
      <w:r>
        <w:rPr>
          <w:rStyle w:val="rFootnRef"/>
        </w:rPr>
        <w:footnoteRef/>
      </w:r>
      <w:r>
        <w:t xml:space="preserve"> Robertson, </w:t>
      </w:r>
      <w:r>
        <w:rPr>
          <w:i/>
        </w:rPr>
        <w:t xml:space="preserve">Word Pictures</w:t>
      </w:r>
      <w:r>
        <w:t xml:space="preserve">, 4:229.</w:t>
      </w:r>
    </w:p>
  </w:footnote>
  <w:footnote w:id="23922">
    <w:p>
      <w:pPr>
        <w:pStyle w:val="rFootn"/>
      </w:pPr>
      <w:r>
        <w:rPr>
          <w:rStyle w:val="rFootnRef"/>
        </w:rPr>
        <w:footnoteRef/>
      </w:r>
      <w:r>
        <w:t xml:space="preserve"> R. C. H. Lenski, </w:t>
      </w:r>
      <w:r>
        <w:rPr>
          <w:i/>
        </w:rPr>
        <w:t xml:space="preserve">St. Paul’s First and Second Epistles to the Corinthians</w:t>
      </w:r>
      <w:r>
        <w:t xml:space="preserve">, 1017.</w:t>
      </w:r>
    </w:p>
  </w:footnote>
  <w:footnote w:id="15411">
    <w:p>
      <w:pPr>
        <w:pStyle w:val="rFootn"/>
      </w:pPr>
      <w:r>
        <w:rPr>
          <w:rStyle w:val="rFootnRef"/>
        </w:rPr>
        <w:footnoteRef/>
      </w:r>
      <w:r>
        <w:t xml:space="preserve"> Lenski, </w:t>
      </w:r>
      <w:r>
        <w:rPr>
          <w:i/>
        </w:rPr>
        <w:t xml:space="preserve">First and Second Epistles to the Corinthians</w:t>
      </w:r>
      <w:r>
        <w:t xml:space="preserve">, 1041.</w:t>
      </w:r>
    </w:p>
  </w:footnote>
  <w:footnote w:id="29598">
    <w:p>
      <w:pPr>
        <w:pStyle w:val="rFootn"/>
      </w:pPr>
      <w:r>
        <w:rPr>
          <w:rStyle w:val="rFootnRef"/>
        </w:rPr>
        <w:footnoteRef/>
      </w:r>
      <w:r>
        <w:t xml:space="preserve"> Cf. Lenski, </w:t>
      </w:r>
      <w:r>
        <w:rPr>
          <w:i/>
        </w:rPr>
        <w:t xml:space="preserve">Corinthians</w:t>
      </w:r>
      <w:r>
        <w:t xml:space="preserve">, 1041-42.</w:t>
      </w:r>
    </w:p>
  </w:footnote>
  <w:footnote w:id="20639">
    <w:p>
      <w:pPr>
        <w:pStyle w:val="rFootn"/>
      </w:pPr>
      <w:r>
        <w:rPr>
          <w:rStyle w:val="rFootnRef"/>
        </w:rPr>
        <w:footnoteRef/>
      </w:r>
      <w:r>
        <w:t xml:space="preserve"> Cf. Vincent, </w:t>
      </w:r>
      <w:r>
        <w:rPr>
          <w:i/>
        </w:rPr>
        <w:t xml:space="preserve">Word Studies</w:t>
      </w:r>
      <w:r>
        <w:t xml:space="preserve">, 3:321.</w:t>
      </w:r>
    </w:p>
  </w:footnote>
  <w:footnote w:id="29008">
    <w:p>
      <w:pPr>
        <w:pStyle w:val="rFootn"/>
      </w:pPr>
      <w:r>
        <w:rPr>
          <w:rStyle w:val="rFootnRef"/>
        </w:rPr>
        <w:footnoteRef/>
      </w:r>
      <w:r>
        <w:t xml:space="preserve"> Cf. Lenski, </w:t>
      </w:r>
      <w:r>
        <w:rPr>
          <w:i/>
        </w:rPr>
        <w:t xml:space="preserve">Corinthians</w:t>
      </w:r>
      <w:r>
        <w:t xml:space="preserve">, 1044.</w:t>
      </w:r>
    </w:p>
  </w:footnote>
  <w:footnote w:id="31633">
    <w:p>
      <w:pPr>
        <w:pStyle w:val="rFootn"/>
      </w:pPr>
      <w:r>
        <w:rPr>
          <w:rStyle w:val="rFootnRef"/>
        </w:rPr>
        <w:footnoteRef/>
      </w:r>
      <w:r>
        <w:t xml:space="preserve"> Paul Barnett, </w:t>
      </w:r>
      <w:r>
        <w:rPr>
          <w:i/>
        </w:rPr>
        <w:t xml:space="preserve">The Second Epistle to the Corinthians</w:t>
      </w:r>
      <w:r>
        <w:t xml:space="preserve"> [NICNT], 310.</w:t>
      </w:r>
    </w:p>
  </w:footnote>
  <w:footnote w:id="20186">
    <w:p>
      <w:pPr>
        <w:pStyle w:val="rFootn"/>
      </w:pPr>
      <w:r>
        <w:rPr>
          <w:rStyle w:val="rFootnRef"/>
        </w:rPr>
        <w:footnoteRef/>
      </w:r>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p>
  </w:footnote>
  <w:footnote w:id="31176">
    <w:p>
      <w:pPr>
        <w:pStyle w:val="rFootn"/>
      </w:pPr>
      <w:r>
        <w:rPr>
          <w:rStyle w:val="rFootnRef"/>
        </w:rPr>
        <w:footnoteRef/>
      </w:r>
      <w:r>
        <w:t xml:space="preserve"> Ceslas Spicq, </w:t>
      </w:r>
      <w:r>
        <w:rPr>
          <w:i/>
        </w:rPr>
        <w:t xml:space="preserve">Theological Lexicon of the New Testament</w:t>
      </w:r>
      <w:r>
        <w:t xml:space="preserve">, 3:174-75.</w:t>
      </w:r>
    </w:p>
  </w:footnote>
  <w:footnote w:id="21544">
    <w:p>
      <w:pPr>
        <w:pStyle w:val="rFootn"/>
      </w:pPr>
      <w:r>
        <w:rPr>
          <w:rStyle w:val="rFootnRef"/>
        </w:rPr>
        <w:footnoteRef/>
      </w:r>
      <w:r>
        <w:t xml:space="preserve"> Barclay Newman, </w:t>
      </w:r>
      <w:r>
        <w:rPr>
          <w:i/>
        </w:rPr>
        <w:t xml:space="preserve">A Concise Greek-English Dictionary of the New Testament</w:t>
      </w:r>
      <w:r>
        <w:t xml:space="preserve">, s.v. “ἁμαρτία.”</w:t>
      </w:r>
    </w:p>
  </w:footnote>
  <w:footnote w:id="10191">
    <w:p>
      <w:pPr>
        <w:pStyle w:val="rFootn"/>
      </w:pPr>
      <w:r>
        <w:rPr>
          <w:rStyle w:val="rFootnRef"/>
        </w:rPr>
        <w:footnoteRef/>
      </w:r>
      <w:r>
        <w:t xml:space="preserve"> Merrill C. Tenney, </w:t>
      </w:r>
      <w:r>
        <w:rPr>
          <w:i/>
        </w:rPr>
        <w:t xml:space="preserve">Zondervan Pictorial Encyclopedia of the Bible</w:t>
      </w:r>
      <w:r>
        <w:t xml:space="preserve">, 242, 522.</w:t>
      </w:r>
    </w:p>
  </w:footnote>
  <w:footnote w:id="15210">
    <w:p>
      <w:pPr>
        <w:pStyle w:val="rFootn"/>
      </w:pPr>
      <w:r>
        <w:rPr>
          <w:rStyle w:val="rFootnRef"/>
        </w:rPr>
        <w:footnoteRef/>
      </w:r>
      <w:r>
        <w:t xml:space="preserve"> Cf.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p>
  </w:footnote>
  <w:footnote w:id="22074">
    <w:p>
      <w:pPr>
        <w:pStyle w:val="rFootn"/>
      </w:pPr>
      <w:r>
        <w:rPr>
          <w:rStyle w:val="rFootnRef"/>
        </w:rPr>
        <w:footnoteRef/>
      </w:r>
      <w:r>
        <w:t xml:space="preserve"> F. F. Bruce, </w:t>
      </w:r>
      <w:r>
        <w:rPr>
          <w:i/>
        </w:rPr>
        <w:t xml:space="preserve">1 and 2 Corinthians</w:t>
      </w:r>
      <w:r>
        <w:t xml:space="preserve">, New Century Bible Commentary, 210.</w:t>
      </w:r>
    </w:p>
  </w:footnote>
  <w:footnote w:id="29178">
    <w:p>
      <w:pPr>
        <w:pStyle w:val="rFootn"/>
      </w:pPr>
      <w:r>
        <w:rPr>
          <w:rStyle w:val="rFootnRef"/>
        </w:rPr>
        <w:footnoteRef/>
      </w:r>
      <w:r>
        <w:t xml:space="preserve"> Albert Barnes, </w:t>
      </w:r>
      <w:r>
        <w:rPr>
          <w:i/>
        </w:rPr>
        <w:t xml:space="preserve">Barnes’ Notes</w:t>
      </w:r>
      <w:r>
        <w:t xml:space="preserve">.</w:t>
      </w:r>
    </w:p>
  </w:footnote>
  <w:footnote w:id="17545">
    <w:p>
      <w:pPr>
        <w:pStyle w:val="rFootn"/>
      </w:pPr>
      <w:r>
        <w:rPr>
          <w:rStyle w:val="rFootnRef"/>
        </w:rPr>
        <w:footnoteRef/>
      </w:r>
      <w:r>
        <w:t xml:space="preserve"> BDAG, s.v. “ἁμαρτία.”</w:t>
      </w:r>
    </w:p>
  </w:footnote>
  <w:footnote w:id="11296">
    <w:p>
      <w:pPr>
        <w:pStyle w:val="rFootn"/>
      </w:pPr>
      <w:r>
        <w:rPr>
          <w:rStyle w:val="rFootnRef"/>
        </w:rPr>
        <w:footnoteRef/>
      </w:r>
      <w:r>
        <w:t xml:space="preserve"> Thayer, </w:t>
      </w:r>
      <w:r>
        <w:rPr>
          <w:i/>
        </w:rPr>
        <w:t xml:space="preserve">Thayer’s Greek-English Lexicon</w:t>
      </w:r>
      <w:r>
        <w:t xml:space="preserve">, s.v. “ἁμαρτία.”</w:t>
      </w:r>
    </w:p>
  </w:footnote>
  <w:footnote w:id="22977">
    <w:p>
      <w:pPr>
        <w:pStyle w:val="rFootn"/>
      </w:pPr>
      <w:r>
        <w:rPr>
          <w:rStyle w:val="rFootnRef"/>
        </w:rPr>
        <w:footnoteRef/>
      </w:r>
      <w:r>
        <w:t xml:space="preserve"> R. C. H. Lenski, </w:t>
      </w:r>
      <w:r>
        <w:rPr>
          <w:i/>
        </w:rPr>
        <w:t xml:space="preserve">St. Paul’s First and Second Epistles to the Corinthians</w:t>
      </w:r>
      <w:r>
        <w:t xml:space="preserve">, 1059.</w:t>
      </w:r>
    </w:p>
  </w:footnote>
  <w:footnote w:id="20117">
    <w:p>
      <w:pPr>
        <w:pStyle w:val="rFootn"/>
      </w:pPr>
      <w:r>
        <w:rPr>
          <w:rStyle w:val="rFootnRef"/>
        </w:rPr>
        <w:footnoteRef/>
      </w:r>
      <w:r>
        <w:t xml:space="preserve"> Lenski, </w:t>
      </w:r>
      <w:r>
        <w:rPr>
          <w:i/>
        </w:rPr>
        <w:t xml:space="preserve">St. Paul’s First and Second Epistles to the Corinthians</w:t>
      </w:r>
      <w:r>
        <w:t xml:space="preserve">, 1070.</w:t>
      </w:r>
    </w:p>
  </w:footnote>
  <w:footnote w:id="28817">
    <w:p>
      <w:pPr>
        <w:pStyle w:val="rFootn"/>
      </w:pPr>
      <w:r>
        <w:rPr>
          <w:rStyle w:val="rFootnRef"/>
        </w:rPr>
        <w:footnoteRef/>
      </w:r>
      <w:r>
        <w:t xml:space="preserve"> Lenski, </w:t>
      </w:r>
      <w:r>
        <w:rPr>
          <w:i/>
        </w:rPr>
        <w:t xml:space="preserve">Corinthians</w:t>
      </w:r>
      <w:r>
        <w:t xml:space="preserve">, 1070.</w:t>
      </w:r>
    </w:p>
  </w:footnote>
  <w:footnote w:id="17599">
    <w:p>
      <w:pPr>
        <w:pStyle w:val="rFootn"/>
      </w:pPr>
      <w:r>
        <w:rPr>
          <w:rStyle w:val="rFootnRef"/>
        </w:rPr>
        <w:footnoteRef/>
      </w:r>
      <w:r>
        <w:t xml:space="preserve"> Cf. Bullinger, </w:t>
      </w:r>
      <w:r>
        <w:rPr>
          <w:i/>
        </w:rPr>
        <w:t xml:space="preserve">Figures of Speech</w:t>
      </w:r>
      <w:r>
        <w:t xml:space="preserve">, 478, “interjectio.”</w:t>
      </w:r>
    </w:p>
  </w:footnote>
  <w:footnote w:id="15715">
    <w:p>
      <w:pPr>
        <w:pStyle w:val="rFootn"/>
      </w:pPr>
      <w:r>
        <w:rPr>
          <w:rStyle w:val="rFootnRef"/>
        </w:rPr>
        <w:footnoteRef/>
      </w:r>
      <w:r>
        <w:t xml:space="preserve"> Lenski, </w:t>
      </w:r>
      <w:r>
        <w:rPr>
          <w:i/>
        </w:rPr>
        <w:t xml:space="preserve">First and Second Epistles to the Corinthians</w:t>
      </w:r>
      <w:r>
        <w:t xml:space="preserve">, 1088.</w:t>
      </w:r>
    </w:p>
  </w:footnote>
  <w:footnote w:id="18244">
    <w:p>
      <w:pPr>
        <w:pStyle w:val="rFootn"/>
      </w:pPr>
      <w:r>
        <w:rPr>
          <w:rStyle w:val="rFootnRef"/>
        </w:rPr>
        <w:footnoteRef/>
      </w:r>
      <w:r>
        <w:t xml:space="preserve"> Cf. R. C. H. Lenski’s translation, </w:t>
      </w:r>
      <w:r>
        <w:rPr>
          <w:i/>
        </w:rPr>
        <w:t xml:space="preserve">St. Paul’s First and Second Epistles to the Corinthians</w:t>
      </w:r>
      <w:r>
        <w:t xml:space="preserve">, 1106.</w:t>
      </w:r>
    </w:p>
  </w:footnote>
  <w:footnote w:id="15478">
    <w:p>
      <w:pPr>
        <w:pStyle w:val="rFootn"/>
      </w:pPr>
      <w:r>
        <w:rPr>
          <w:rStyle w:val="rFootnRef"/>
        </w:rPr>
        <w:footnoteRef/>
      </w:r>
      <w:r>
        <w:t xml:space="preserve"> BDAG, s.v. “ἁπλότης.”</w:t>
      </w:r>
    </w:p>
  </w:footnote>
  <w:footnote w:id="32005">
    <w:p>
      <w:pPr>
        <w:pStyle w:val="rFootn"/>
      </w:pPr>
      <w:r>
        <w:rPr>
          <w:rStyle w:val="rFootnRef"/>
        </w:rPr>
        <w:footnoteRef/>
      </w:r>
      <w:r>
        <w:t xml:space="preserve"> Philip E. Hughes, </w:t>
      </w:r>
      <w:r>
        <w:rPr>
          <w:i/>
        </w:rPr>
        <w:t xml:space="preserve">The Second Epistle to the Corinthians</w:t>
      </w:r>
      <w:r>
        <w:t xml:space="preserve"> [NICNT], 302n28.</w:t>
      </w:r>
    </w:p>
  </w:footnote>
  <w:footnote w:id="11158">
    <w:p>
      <w:pPr>
        <w:pStyle w:val="rFootn"/>
      </w:pPr>
      <w:r>
        <w:rPr>
          <w:rStyle w:val="rFootnRef"/>
        </w:rPr>
        <w:footnoteRef/>
      </w:r>
      <w:r>
        <w:t xml:space="preserve"> BDAG </w:t>
      </w:r>
      <w:r>
        <w:rPr>
          <w:i/>
        </w:rPr>
        <w:t xml:space="preserve">Greek-English Lexicon</w:t>
      </w:r>
      <w:r>
        <w:t xml:space="preserve">, s.v.“ ἰσότης.”</w:t>
      </w:r>
    </w:p>
  </w:footnote>
  <w:footnote w:id="16011">
    <w:p>
      <w:pPr>
        <w:pStyle w:val="rFootn"/>
      </w:pPr>
      <w:r>
        <w:rPr>
          <w:rStyle w:val="rFootnRef"/>
        </w:rPr>
        <w:footnoteRef/>
      </w:r>
      <w:r>
        <w:t xml:space="preserve"> Kistemaker, </w:t>
      </w:r>
      <w:r>
        <w:rPr>
          <w:i/>
        </w:rPr>
        <w:t xml:space="preserve">New Testament Commentary: 2 Corinthians</w:t>
      </w:r>
      <w:r>
        <w:t xml:space="preserve">, 310.</w:t>
      </w:r>
    </w:p>
  </w:footnote>
  <w:footnote w:id="32292">
    <w:p>
      <w:pPr>
        <w:pStyle w:val="rFootn"/>
      </w:pPr>
      <w:r>
        <w:rPr>
          <w:rStyle w:val="rFootnRef"/>
        </w:rPr>
        <w:footnoteRef/>
      </w:r>
      <w:r>
        <w:t xml:space="preserve"> BDAG </w:t>
      </w:r>
      <w:r>
        <w:rPr>
          <w:i/>
        </w:rPr>
        <w:t xml:space="preserve">Greek-English Lexicon</w:t>
      </w:r>
      <w:r>
        <w:t xml:space="preserve">, s.v. “εὐλογία.”</w:t>
      </w:r>
    </w:p>
  </w:footnote>
  <w:footnote w:id="13159">
    <w:p>
      <w:pPr>
        <w:pStyle w:val="rFootn"/>
      </w:pPr>
      <w:r>
        <w:rPr>
          <w:rStyle w:val="rFootnRef"/>
        </w:rPr>
        <w:footnoteRef/>
      </w:r>
      <w:r>
        <w:t xml:space="preserve"> Lenski, </w:t>
      </w:r>
      <w:r>
        <w:rPr>
          <w:i/>
        </w:rPr>
        <w:t xml:space="preserve">The Interpretation of St. Luke’s Gospel</w:t>
      </w:r>
      <w:r>
        <w:t xml:space="preserve">, 661.</w:t>
      </w:r>
    </w:p>
  </w:footnote>
  <w:footnote w:id="27939">
    <w:p>
      <w:pPr>
        <w:pStyle w:val="rFootn"/>
      </w:pPr>
      <w:r>
        <w:rPr>
          <w:rStyle w:val="rFootnRef"/>
        </w:rPr>
        <w:footnoteRef/>
      </w:r>
      <w:r>
        <w:t xml:space="preserve"> Williams, Charles B. </w:t>
      </w:r>
      <w:r>
        <w:rPr>
          <w:i/>
        </w:rPr>
        <w:t xml:space="preserve">The New Testament: A Private Translation in the Language of the People</w:t>
      </w:r>
      <w:r>
        <w:t xml:space="preserve">.</w:t>
      </w:r>
    </w:p>
  </w:footnote>
  <w:footnote w:id="10817">
    <w:p>
      <w:pPr>
        <w:pStyle w:val="rFootn"/>
      </w:pPr>
      <w:r>
        <w:rPr>
          <w:rStyle w:val="rFootnRef"/>
        </w:rPr>
        <w:footnoteRef/>
      </w:r>
      <w:r>
        <w:t xml:space="preserve"> Zodhiates, </w:t>
      </w:r>
      <w:r>
        <w:rPr>
          <w:i/>
        </w:rPr>
        <w:t xml:space="preserve">Word Study Dictionary</w:t>
      </w:r>
      <w:r>
        <w:t xml:space="preserve">, s.v. “ἐπιείκεια.”</w:t>
      </w:r>
    </w:p>
  </w:footnote>
  <w:footnote w:id="21706">
    <w:p>
      <w:pPr>
        <w:pStyle w:val="rFootn"/>
      </w:pPr>
      <w:r>
        <w:rPr>
          <w:rStyle w:val="rFootnRef"/>
        </w:rPr>
        <w:footnoteRef/>
      </w:r>
      <w:r>
        <w:t xml:space="preserve"> R. C. H. Lenski, </w:t>
      </w:r>
      <w:r>
        <w:rPr>
          <w:i/>
        </w:rPr>
        <w:t xml:space="preserve">St. Paul’s First and Second Epistles to the Corinthians</w:t>
      </w:r>
      <w:r>
        <w:t xml:space="preserve">, 1200.</w:t>
      </w:r>
    </w:p>
  </w:footnote>
  <w:footnote w:id="11394">
    <w:p>
      <w:pPr>
        <w:pStyle w:val="rFootn"/>
      </w:pPr>
      <w:r>
        <w:rPr>
          <w:rStyle w:val="rFootnRef"/>
        </w:rPr>
        <w:footnoteRef/>
      </w:r>
      <w:r>
        <w:t xml:space="preserve"> BDAG, s.v. “τολμάω.”</w:t>
      </w:r>
    </w:p>
  </w:footnote>
  <w:footnote w:id="29595">
    <w:p>
      <w:pPr>
        <w:pStyle w:val="rFootn"/>
      </w:pPr>
      <w:r>
        <w:rPr>
          <w:rStyle w:val="rFootnRef"/>
        </w:rPr>
        <w:footnoteRef/>
      </w:r>
      <w:r>
        <w:t xml:space="preserve"> Thayer, s.v. “νόημα.”</w:t>
      </w:r>
    </w:p>
  </w:footnote>
  <w:footnote w:id="22614">
    <w:p>
      <w:pPr>
        <w:pStyle w:val="rFootn"/>
      </w:pPr>
      <w:r>
        <w:rPr>
          <w:rStyle w:val="rFootnRef"/>
        </w:rPr>
        <w:footnoteRef/>
      </w:r>
      <w:r>
        <w:t xml:space="preserve"> BDAG, s.v. “ἀσθενής.”</w:t>
      </w:r>
    </w:p>
  </w:footnote>
  <w:footnote w:id="31834">
    <w:p>
      <w:pPr>
        <w:pStyle w:val="rFootn"/>
      </w:pPr>
      <w:r>
        <w:rPr>
          <w:rStyle w:val="rFootnRef"/>
        </w:rPr>
        <w:footnoteRef/>
      </w:r>
      <w:r>
        <w:t xml:space="preserve"> BDAG, s.v. “ἐξουθενέω.”</w:t>
      </w:r>
    </w:p>
  </w:footnote>
  <w:footnote w:id="21674">
    <w:p>
      <w:pPr>
        <w:pStyle w:val="rFootn"/>
      </w:pPr>
      <w:r>
        <w:rPr>
          <w:rStyle w:val="rFootnRef"/>
        </w:rPr>
        <w:footnoteRef/>
      </w:r>
      <w:r>
        <w:t xml:space="preserve"> Gregory Aldrete, </w:t>
      </w:r>
      <w:r>
        <w:rPr>
          <w:i/>
        </w:rPr>
        <w:t xml:space="preserve">Daily Life in the Roman City</w:t>
      </w:r>
      <w:r>
        <w:t xml:space="preserve">, 63.</w:t>
      </w:r>
    </w:p>
  </w:footnote>
  <w:footnote w:id="19717">
    <w:p>
      <w:pPr>
        <w:pStyle w:val="rFootn"/>
      </w:pPr>
      <w:r>
        <w:rPr>
          <w:rStyle w:val="rFootnRef"/>
        </w:rPr>
        <w:footnoteRef/>
      </w:r>
      <w:r>
        <w:t xml:space="preserve"> Hackett, </w:t>
      </w:r>
      <w:r>
        <w:rPr>
          <w:i/>
        </w:rPr>
        <w:t xml:space="preserve">Smith’s Dictionary of the Bible</w:t>
      </w:r>
      <w:r>
        <w:t xml:space="preserve">, vol. 3, 2642; Hastings, </w:t>
      </w:r>
      <w:r>
        <w:rPr>
          <w:i/>
        </w:rPr>
        <w:t xml:space="preserve">A Dictionary of the Bible</w:t>
      </w:r>
      <w:r>
        <w:t xml:space="preserve">, vol. 1, 526.</w:t>
      </w:r>
    </w:p>
  </w:footnote>
  <w:footnote w:id="16382">
    <w:p>
      <w:pPr>
        <w:pStyle w:val="rFootn"/>
      </w:pPr>
      <w:r>
        <w:rPr>
          <w:rStyle w:val="rFootnRef"/>
        </w:rPr>
        <w:footnoteRef/>
      </w:r>
      <w:r>
        <w:t xml:space="preserve"> BDAG, s.v. “βυθός.”</w:t>
      </w:r>
    </w:p>
  </w:footnote>
  <w:footnote w:id="13905">
    <w:p>
      <w:pPr>
        <w:pStyle w:val="rFootn"/>
      </w:pPr>
      <w:r>
        <w:rPr>
          <w:rStyle w:val="rFootnRef"/>
        </w:rPr>
        <w:footnoteRef/>
      </w:r>
      <w:r>
        <w:t xml:space="preserve"> Wikipedia, “Travel,” accessed October 14, 2017, https://en.wikipedia.org/wiki/Travel.</w:t>
      </w:r>
    </w:p>
  </w:footnote>
  <w:footnote w:id="29866">
    <w:p>
      <w:pPr>
        <w:pStyle w:val="rFootn"/>
      </w:pPr>
      <w:r>
        <w:rPr>
          <w:rStyle w:val="rFootnRef"/>
        </w:rPr>
        <w:footnoteRef/>
      </w:r>
      <w:r>
        <w:t xml:space="preserve"> Gregory Aldrete, </w:t>
      </w:r>
      <w:r>
        <w:rPr>
          <w:i/>
        </w:rPr>
        <w:t xml:space="preserve">Daily Life in the Roman City</w:t>
      </w:r>
      <w:r>
        <w:t xml:space="preserve">, 39.</w:t>
      </w:r>
    </w:p>
  </w:footnote>
  <w:footnote w:id="22329">
    <w:p>
      <w:pPr>
        <w:pStyle w:val="rFootn"/>
      </w:pPr>
      <w:r>
        <w:rPr>
          <w:rStyle w:val="rFootnRef"/>
        </w:rPr>
        <w:footnoteRef/>
      </w:r>
      <w:r>
        <w:t xml:space="preserve"> Nigel Turner, </w:t>
      </w:r>
      <w:r>
        <w:rPr>
          <w:i/>
        </w:rPr>
        <w:t xml:space="preserve">Christian Words</w:t>
      </w:r>
      <w:r>
        <w:t xml:space="preserve">, 191-95.</w:t>
      </w:r>
    </w:p>
  </w:footnote>
  <w:footnote w:id="31989">
    <w:p>
      <w:pPr>
        <w:pStyle w:val="rFootn"/>
      </w:pPr>
      <w:r>
        <w:rPr>
          <w:rStyle w:val="rFootnRef"/>
        </w:rPr>
        <w:footnoteRef/>
      </w:r>
      <w:r>
        <w:t xml:space="preserve"> BDAG, s.v. “ὀφείλω.”</w:t>
      </w:r>
    </w:p>
  </w:footnote>
  <w:footnote w:id="14224">
    <w:p>
      <w:pPr>
        <w:pStyle w:val="rFootn"/>
      </w:pPr>
      <w:r>
        <w:rPr>
          <w:rStyle w:val="rFootnRef"/>
        </w:rPr>
        <w:footnoteRef/>
      </w:r>
      <w:r>
        <w:t xml:space="preserve"> E. W. Bullinger, </w:t>
      </w:r>
      <w:r>
        <w:rPr>
          <w:i/>
        </w:rPr>
        <w:t xml:space="preserve">Figures of Speech Used in the Bible</w:t>
      </w:r>
      <w:r>
        <w:t xml:space="preserve">, 807, “eironeia.”</w:t>
      </w:r>
    </w:p>
  </w:footnote>
  <w:footnote w:id="29152">
    <w:p>
      <w:pPr>
        <w:pStyle w:val="rFootn"/>
      </w:pPr>
      <w:r>
        <w:rPr>
          <w:rStyle w:val="rFootnRef"/>
        </w:rPr>
        <w:footnoteRef/>
      </w:r>
      <w:r>
        <w:t xml:space="preserve"> Bullinger, </w:t>
      </w:r>
      <w:r>
        <w:rPr>
          <w:i/>
        </w:rPr>
        <w:t xml:space="preserve">Figures of Speech</w:t>
      </w:r>
      <w:r>
        <w:t xml:space="preserve">, 807, “eironeia.”</w:t>
      </w:r>
    </w:p>
  </w:footnote>
  <w:footnote w:id="30672">
    <w:p>
      <w:pPr>
        <w:pStyle w:val="rFootn"/>
      </w:pPr>
      <w:r>
        <w:rPr>
          <w:rStyle w:val="rFootnRef"/>
        </w:rPr>
        <w:footnoteRef/>
      </w:r>
      <w:r>
        <w:t xml:space="preserve"> BDAG </w:t>
      </w:r>
      <w:r>
        <w:rPr>
          <w:i/>
        </w:rPr>
        <w:t xml:space="preserve">Greek-English Lexicon</w:t>
      </w:r>
      <w:r>
        <w:t xml:space="preserve">, s.v. “φυσίωσις.”</w:t>
      </w:r>
    </w:p>
  </w:footnote>
  <w:footnote w:id="16959">
    <w:p>
      <w:pPr>
        <w:pStyle w:val="rFootn"/>
      </w:pPr>
      <w:r>
        <w:rPr>
          <w:rStyle w:val="rFootnRef"/>
        </w:rPr>
        <w:footnoteRef/>
      </w:r>
      <w:r>
        <w:t xml:space="preserve"> Louw and Nida, s.v. “φυσίωσις.”</w:t>
      </w:r>
    </w:p>
  </w:footnote>
  <w:footnote w:id="12562">
    <w:p>
      <w:pPr>
        <w:pStyle w:val="rFootn"/>
      </w:pPr>
      <w:r>
        <w:rPr>
          <w:rStyle w:val="rFootnRef"/>
        </w:rPr>
        <w:footnoteRef/>
      </w:r>
      <w:r>
        <w:t xml:space="preserve"> BDAG </w:t>
      </w:r>
      <w:r>
        <w:rPr>
          <w:i/>
        </w:rPr>
        <w:t xml:space="preserve">Greek-English Lexicon</w:t>
      </w:r>
      <w:r>
        <w:t xml:space="preserve">, s.v. “ἀκαθαρσία.”</w:t>
      </w:r>
    </w:p>
  </w:footnote>
  <w:footnote w:id="27982">
    <w:p>
      <w:pPr>
        <w:pStyle w:val="rFootn"/>
      </w:pPr>
      <w:r>
        <w:rPr>
          <w:rStyle w:val="rFootnRef"/>
        </w:rPr>
        <w:footnoteRef/>
      </w:r>
      <w:r>
        <w:t xml:space="preserve"> </w:t>
      </w:r>
      <w:r>
        <w:rPr>
          <w:i/>
        </w:rPr>
        <w:t xml:space="preserve">Thayer’s Greek-English Lexicon</w:t>
      </w:r>
      <w:r>
        <w:t xml:space="preserve">, s.v. “ἀκαθαρσία.”</w:t>
      </w:r>
    </w:p>
  </w:footnote>
  <w:footnote w:id="24039">
    <w:p>
      <w:pPr>
        <w:pStyle w:val="rFootn"/>
      </w:pPr>
      <w:r>
        <w:rPr>
          <w:rStyle w:val="rFootnRef"/>
        </w:rPr>
        <w:footnoteRef/>
      </w:r>
      <w:r>
        <w:t xml:space="preserve"> R. C. H. Lenski, </w:t>
      </w:r>
      <w:r>
        <w:rPr>
          <w:i/>
        </w:rPr>
        <w:t xml:space="preserve">St. Paul’s First and Second Epistles to the Corinthians</w:t>
      </w:r>
      <w:r>
        <w:t xml:space="preserve">, 1333.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859476">
    <w:multiLevelType w:val="hybridMultilevel"/>
    <w:lvl w:ilvl="0" w:tplc="26481927">
      <w:start w:val="1"/>
      <w:numFmt w:val="decimal"/>
      <w:lvlText w:val="%1."/>
      <w:lvlJc w:val="left"/>
      <w:pPr>
        <w:ind w:left="720" w:hanging="360"/>
      </w:pPr>
    </w:lvl>
    <w:lvl w:ilvl="1" w:tplc="26481927" w:tentative="1">
      <w:start w:val="1"/>
      <w:numFmt w:val="lowerLetter"/>
      <w:lvlText w:val="%2."/>
      <w:lvlJc w:val="left"/>
      <w:pPr>
        <w:ind w:left="1440" w:hanging="360"/>
      </w:pPr>
    </w:lvl>
    <w:lvl w:ilvl="2" w:tplc="26481927" w:tentative="1">
      <w:start w:val="1"/>
      <w:numFmt w:val="lowerRoman"/>
      <w:lvlText w:val="%3."/>
      <w:lvlJc w:val="right"/>
      <w:pPr>
        <w:ind w:left="2160" w:hanging="180"/>
      </w:pPr>
    </w:lvl>
    <w:lvl w:ilvl="3" w:tplc="26481927" w:tentative="1">
      <w:start w:val="1"/>
      <w:numFmt w:val="decimal"/>
      <w:lvlText w:val="%4."/>
      <w:lvlJc w:val="left"/>
      <w:pPr>
        <w:ind w:left="2880" w:hanging="360"/>
      </w:pPr>
    </w:lvl>
    <w:lvl w:ilvl="4" w:tplc="26481927" w:tentative="1">
      <w:start w:val="1"/>
      <w:numFmt w:val="lowerLetter"/>
      <w:lvlText w:val="%5."/>
      <w:lvlJc w:val="left"/>
      <w:pPr>
        <w:ind w:left="3600" w:hanging="360"/>
      </w:pPr>
    </w:lvl>
    <w:lvl w:ilvl="5" w:tplc="26481927" w:tentative="1">
      <w:start w:val="1"/>
      <w:numFmt w:val="lowerRoman"/>
      <w:lvlText w:val="%6."/>
      <w:lvlJc w:val="right"/>
      <w:pPr>
        <w:ind w:left="4320" w:hanging="180"/>
      </w:pPr>
    </w:lvl>
    <w:lvl w:ilvl="6" w:tplc="26481927" w:tentative="1">
      <w:start w:val="1"/>
      <w:numFmt w:val="decimal"/>
      <w:lvlText w:val="%7."/>
      <w:lvlJc w:val="left"/>
      <w:pPr>
        <w:ind w:left="5040" w:hanging="360"/>
      </w:pPr>
    </w:lvl>
    <w:lvl w:ilvl="7" w:tplc="26481927" w:tentative="1">
      <w:start w:val="1"/>
      <w:numFmt w:val="lowerLetter"/>
      <w:lvlText w:val="%8."/>
      <w:lvlJc w:val="left"/>
      <w:pPr>
        <w:ind w:left="5760" w:hanging="360"/>
      </w:pPr>
    </w:lvl>
    <w:lvl w:ilvl="8" w:tplc="26481927" w:tentative="1">
      <w:start w:val="1"/>
      <w:numFmt w:val="lowerRoman"/>
      <w:lvlText w:val="%9."/>
      <w:lvlJc w:val="right"/>
      <w:pPr>
        <w:ind w:left="6480" w:hanging="180"/>
      </w:pPr>
    </w:lvl>
  </w:abstractNum>
  <w:abstractNum w:abstractNumId="11117">
    <w:multiLevelType w:val="hybridMultilevel"/>
    <w:lvl w:ilvl="0" w:tplc="465624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117">
    <w:abstractNumId w:val="11117"/>
  </w:num>
  <w:num w:numId="55859476">
    <w:abstractNumId w:val="5585947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9600423" Type="http://schemas.openxmlformats.org/officeDocument/2006/relationships/numbering" Target="numbering.xml"/><Relationship Id="rId486069369" Type="http://schemas.openxmlformats.org/officeDocument/2006/relationships/comments" Target="comments.xml"/><Relationship Id="rId566067cdfa553bf0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