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rFootnRef"/>
        </w:rPr>
        <w:footnoteReference w:id="19260"/>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R.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rFootnRef"/>
        </w:rPr>
        <w:footnoteReference w:id="31394"/>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rFootnRef"/>
        </w:rPr>
        <w:footnoteReference w:id="12685"/>
      </w:r>
      <w:r>
        <w:rPr/>
        <w:t xml:space="preserve"> In other words, the action of giving thanks occurs simultaneous to the action of praying. This fact is missed in translations that do not read “when we pray,” (e.g., KJV, ASV, NASB). The reading, “we give thanks to God…praying always for you,” does not necessarily communicate that the actions of giving thanks and praying are contemporaneous. Better are translations such as the REV, ESV, NIV, NET, and HCSB,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rFootnRef"/>
        </w:rPr>
        <w:footnoteReference w:id="31526"/>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rFootnRef"/>
        </w:rPr>
        <w:footnoteReference w:id="19299"/>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rFootnRef"/>
        </w:rPr>
        <w:footnoteReference w:id="26728"/>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rFootnRef"/>
        </w:rPr>
        <w:footnoteReference w:id="32578"/>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rFootnRef"/>
        </w:rPr>
        <w:footnoteReference w:id="23014"/>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rFootnRef"/>
        </w:rPr>
        <w:footnoteReference w:id="24428"/>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behalf of”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 which are 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587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22954"/>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given to us (cf. Gal. 5:17).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TEV, NIV, CEV, NET, NLT).</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HCSB, ESV,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rFootnRef"/>
        </w:rPr>
        <w:footnoteReference w:id="11134"/>
      </w:r>
      <w:r>
        <w:rPr/>
        <w:t xml:space="preserve"> Louw-Nida defines the term as, “To possess more or less definite information about, possibly with a degree of thoroughness or competence—‘to know about, to know definitely about.’”</w:t>
      </w:r>
      <w:r>
        <w:rPr>
          <w:rStyle w:val="rFootnRef"/>
        </w:rPr>
        <w:footnoteReference w:id="17530"/>
      </w:r>
      <w:r>
        <w:rPr/>
        <w:t xml:space="preserve"> The Colossians already have knowledge of God, Paul only prays that such knowledge would be ever increasing in its fullness and clarity, 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rFootnRef"/>
        </w:rPr>
        <w:footnoteReference w:id="12589"/>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KJV, ASV, NASB). The word “you” is the best reading, however. It is much more likely the reading “us” arose as a scribal assimilation to match the “us” in Col. 1:13, than for a change from “us” to “you.”</w:t>
      </w:r>
      <w:r>
        <w:rPr>
          <w:rStyle w:val="rFootnRef"/>
        </w:rPr>
        <w:footnoteReference w:id="13017"/>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“Every man will sit under his own vine and under his own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rFootnRef"/>
        </w:rPr>
        <w:footnoteReference w:id="27431"/>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rFootnRef"/>
        </w:rPr>
        <w:footnoteReference w:id="15956"/>
      </w:r>
      <w:r>
        <w:rPr/>
        <w:t xml:space="preserve"> Lightfoot writes: “The portion of the saints is situated in the kingdom of light.”</w:t>
      </w:r>
      <w:r>
        <w:rPr>
          <w:rStyle w:val="rFootnRef"/>
        </w:rPr>
        <w:footnoteReference w:id="16447"/>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rFootnRef"/>
        </w:rPr>
        <w:footnoteReference w:id="14566"/>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rFootnRef"/>
        </w:rPr>
        <w:footnoteReference w:id="15356"/>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w:t>
      </w:r>
      <w:r>
        <w:rPr>
          <w:i/>
          <w:iCs/>
        </w:rPr>
        <w:t xml:space="preserve">i.e.,</w:t>
      </w:r>
      <w:r>
        <w:rPr/>
        <w:t xml:space="preserv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for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rFootnRef"/>
        </w:rPr>
        <w:footnoteReference w:id="13168"/>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rFootnRef"/>
        </w:rPr>
        <w:footnoteReference w:id="23728"/>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rFootnRef"/>
        </w:rPr>
        <w:footnoteReference w:id="24415"/>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was the creator and the creation was made “by him,” the verb would be active. God is the creator, and he created “in connection with” His Son, Jesus Christ.</w:t>
      </w:r>
      <w:r>
        <w:rPr>
          <w:rStyle w:val="rFootnRef"/>
        </w:rPr>
        <w:footnoteReference w:id="30187"/>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rFootnRef"/>
        </w:rPr>
        <w:footnoteReference w:id="17008"/>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w:t>
      </w:r>
      <w:r>
        <w:rPr>
          <w:i/>
          <w:iCs/>
        </w:rPr>
        <w:t xml:space="preserve">places</w:t>
      </w:r>
      <w:r>
        <w:rPr/>
        <w:t xml:space="preserve">,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rFootnRef"/>
        </w:rPr>
        <w:footnoteReference w:id="28071"/>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rFootnRef"/>
        </w:rPr>
        <w:footnoteReference w:id="18542"/>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rFootnRef"/>
        </w:rPr>
        <w:footnoteReference w:id="19888"/>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a temporal context,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rFootnRef"/>
        </w:rPr>
        <w:footnoteReference w:id="19701"/>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rFootnRef"/>
        </w:rPr>
        <w:footnoteReference w:id="29357"/>
      </w:r>
      <w:r>
        <w:rPr/>
        <w:t xml:space="preserve"> which is why the versions translate it as a present. This is a wonderful verb to express the complexity of the relationships that exist in the Church, and how Christ relates to the positions of authority he created (cf. Col. 1:16). The sad fact is that the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rFootnRef"/>
        </w:rPr>
        <w:footnoteReference w:id="23065"/>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rFootnRef"/>
        </w:rPr>
        <w:footnoteReference w:id="17252"/>
      </w:r>
      <w:r>
        <w:rPr/>
        <w:t xml:space="preserve"> Friberg’s lexicon adds “have existence, exist, continue.”</w:t>
      </w:r>
      <w:r>
        <w:rPr>
          <w:rStyle w:val="rFootnRef"/>
        </w:rPr>
        <w:footnoteReference w:id="28305"/>
      </w:r>
      <w:r>
        <w:rPr/>
        <w:t xml:space="preserve"> The Louw-Nida lexicon adds, “to bring together or hold together something in its proper or appropriate place or relationship.”</w:t>
      </w:r>
      <w:r>
        <w:rPr>
          <w:rStyle w:val="rFootnRef"/>
        </w:rPr>
        <w:footnoteReference w:id="26646"/>
      </w:r>
      <w:r>
        <w:rPr/>
        <w:t xml:space="preserve"> We should note that the verb is used 16 times in the New Testament, and the majority of them refer to commending or recommending one person to another (Rom. 16:1; 2 Cor. 3:1; 4:2; 5:12; 6:4; 7:11; 10:12, 18 (2x); 1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rFootnRef"/>
        </w:rPr>
        <w:footnoteReference w:id="20771"/>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There are many events in the Bible that are referred to as the “beginning,” so what the word “beginning” refers to in any given verse depends on the context. Some translators say that Christ was the beginning of the Church before the world began (“the beginning…goes back to creation…”).</w:t>
      </w:r>
      <w:r>
        <w:rPr>
          <w:rStyle w:val="rFootnRef"/>
        </w:rPr>
        <w:footnoteReference w:id="24420"/>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rFootnRef"/>
        </w:rPr>
        <w:footnoteReference w:id="21694"/>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rFootnRef"/>
        </w:rPr>
        <w:footnoteReference w:id="12688"/>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the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rFootnRef"/>
        </w:rPr>
        <w:footnoteReference w:id="12739"/>
      </w:r>
      <w:r>
        <w:rPr/>
        <w:t xml:space="preserve"> actually meaning “God in all His fullness.”</w:t>
      </w:r>
      <w:r>
        <w:rPr>
          <w:rStyle w:val="rFootnRef"/>
        </w:rPr>
        <w:footnoteReference w:id="13753"/>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are displayed” in Christ.</w:t>
      </w:r>
      <w:r>
        <w:rPr>
          <w:rStyle w:val="rFootnRef"/>
        </w:rPr>
        <w:footnoteReference w:id="21423"/>
      </w:r>
      <w:r>
        <w:rPr/>
        <w:t xml:space="preserve"> It also ties in the work and promises of God in the Old Testament, for OT verses such as Jeremiah 23:24 (“Do I not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are one sentence, and there are two aspects to it: salvation and rewards. But unfortunately in the English versions, the meaning of the verse is not as clear as it could be because the sentence has been broken into two verses, and worse, it has been broken at the wrong place. If the sentence was going to be broken at all, it should have been broken between “death,” and “to present you,” not between “presence” and “if” as the English versions do. The subject of the first part of the sentence is salvation that has already been accomplished for the Christian (“he has reconciled you”). The subject of the last part of the sentence is rewards in the future, and those rewards are based on behavior (“to present you...if indeed you continue”).</w:t>
      </w:r>
    </w:p>
    <w:p>
      <w:pPr>
        <w:pStyle w:val="rNormal"/>
        <w:widowControl w:val="on"/>
        <w:spacing w:before="240" w:after="240" w:line="240" w:lineRule="auto"/>
        <w:ind w:left="0" w:right="0"/>
        <w:jc w:val="left"/>
      </w:pPr>
      <w:r>
        <w:rPr/>
        <w:t xml:space="preserve">The whole sentence is, “But now, in his body of flesh, he has reconciled </w:t>
      </w:r>
      <w:r>
        <w:rPr>
          <w:i/>
          <w:iCs/>
        </w:rPr>
        <w:t xml:space="preserve">you</w:t>
      </w:r>
      <w:r>
        <w:rPr/>
        <w:t xml:space="preserve"> by </w:t>
      </w:r>
      <w:r>
        <w:rPr>
          <w:i/>
          <w:iCs/>
        </w:rPr>
        <w:t xml:space="preserve">his</w:t>
      </w:r>
      <w:r>
        <w:rPr/>
        <w:t xml:space="preserve"> death [SALVATION] to present you holy and without blemish and blameless in his presence [REWARDS], if indeed you continue in the faith, established and steadfast, and not shifting away from the hope of the good news that you heard, which was preached to all creation under heaven, </w:t>
      </w:r>
      <w:r>
        <w:rPr>
          <w:i/>
          <w:iCs/>
        </w:rPr>
        <w:t xml:space="preserve">and</w:t>
      </w:r>
      <w:r>
        <w:rPr/>
        <w:t xml:space="preserve"> of which I, Paul, became a minister.”</w:t>
      </w:r>
    </w:p>
    <w:p>
      <w:pPr>
        <w:pStyle w:val="rNormal"/>
        <w:widowControl w:val="on"/>
        <w:spacing w:before="240" w:after="240" w:line="240" w:lineRule="auto"/>
        <w:ind w:left="0" w:right="0"/>
        <w:jc w:val="left"/>
      </w:pPr>
      <w:r>
        <w:rPr/>
        <w:t xml:space="preserve">The reconciliation we have with God is our salvation; when we are saved we are reconciled and we are not reconciled if we are not saved. But Christ did not die for us with the purpose of our living ungodly and disobedient lives, he died for us so we could live holy and godly lives and earn great rewards in the future, and that is what the last part of the sentence is saying. The whole sentence is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In Colossians 1:22-23, being “holy,” “without blemish,” and “blameless” before God are not gifts or spiritual attributes that God gives believers when they become saved; they are Christian characteristics based on behavior. In this context, “holy” refers to being holy by virtue of obeying God, not “holy” based on being saved (cf. 1 Pet. 1:15-16, “Be holy because I am holy”). In the Administration of Grace (Eph. 3:2), when a person gets born again, their salvation is permanent. Christians are guaranteed to be with Christ in the future. However, rewards given to believers in the future Kingdom of Christ are not guaranteed but are earned. The fact that being holy, without blemish, and blameless before God are attributes that we have by virtue of our godly behavior is why Colossians 1:23 says that we will be presented holy and blameless “if indeed you continue in the faith, established and steadfast, and not being moved away from the hope….”</w:t>
      </w:r>
    </w:p>
    <w:p>
      <w:pPr>
        <w:pStyle w:val="rNormal"/>
        <w:widowControl w:val="on"/>
        <w:spacing w:before="240" w:after="240" w:line="240" w:lineRule="auto"/>
        <w:ind w:left="0" w:right="0"/>
        <w:jc w:val="left"/>
      </w:pPr>
      <w:r>
        <w:rPr/>
        <w:t xml:space="preserve">The basic concepts of being “holy” and “blameless” occur together a number of times in the New Testament, although different Greek words for the idea of “holy” and “blameless” are used. Although sometimes the context shows that “holy and blameless” are used for the inherent spiritual holiness of the believer due to the work of Christ, more often the context is about the believer maintaining a holy and blameless walk in their Christian life.</w:t>
      </w:r>
    </w:p>
    <w:p>
      <w:pPr>
        <w:pStyle w:val="rNormal"/>
        <w:widowControl w:val="on"/>
        <w:spacing w:before="240" w:after="240" w:line="240" w:lineRule="auto"/>
        <w:ind w:left="0" w:right="0"/>
        <w:jc w:val="left"/>
      </w:pPr>
      <w:r>
        <w:rPr/>
        <w:t xml:space="preserve">For example, in Ephesians 1:4 the major emphasis in the text is the Christian being inherently holy and blameless because of the work of Christ. In contrast, in Philippians 2:14-15, which says the Christian is to be blameless and “pure” (</w:t>
      </w:r>
      <w:r>
        <w:rPr>
          <w:i/>
          <w:iCs/>
        </w:rPr>
        <w:t xml:space="preserve">akeraios</w:t>
      </w:r>
      <w:r>
        <w:rPr/>
        <w:t xml:space="preserve">; pure or unmixed), the context is clearly about Christian behavior: “Do all things without grumbling or arguing, so that you are blameless and pure, children of God without blemish in the midst of a crooked and twisted generation.” That is the same with 1 Thessalonians 2:10, which says, “You are witnesses, and God also, how purely [</w:t>
      </w:r>
      <w:r>
        <w:rPr>
          <w:i/>
          <w:iCs/>
        </w:rPr>
        <w:t xml:space="preserve">hosios</w:t>
      </w:r>
      <w:r>
        <w:rPr/>
        <w:t xml:space="preserve">] and righteously and blamelessly we conducted ourselves among you.”</w:t>
      </w:r>
    </w:p>
    <w:p>
      <w:pPr>
        <w:pStyle w:val="rNormal"/>
        <w:widowControl w:val="on"/>
        <w:spacing w:before="240" w:after="240" w:line="240" w:lineRule="auto"/>
        <w:ind w:left="0" w:right="0"/>
        <w:jc w:val="left"/>
      </w:pPr>
      <w:r>
        <w:rPr/>
        <w:t xml:space="preserve">The context of Colossians 1:22 shows that “holy and blameless” is about the Christian walk, not about Christian salvation. The most important evidence is the sentence of Colossians 1:22-23 itself, which says that Christ reconciled us to God, “to present you holy and without blemish and blameless in his presence, if indeed you continue in the faith.” The straightforward reading of that text is that the Christian is holy and blameless “if” they continue in the faith, that is, continue their obedient Christian lifestyle. Furthermore, the sentence shows that Christ died for a greater purpose than believers just receiving everlasting life. While everlasting life itself is wonderful, Jesus did not die for that alone—he did not die just so people could live forever but behave any way they wanted. Jesus died to help fulfill God’s plan to have a family of wonderful children who loved and obeyed Him, and so Christ also died “to present you holy and without blemish and blameless,” which would depend on the believers living godly lives. A godly Christian lifestyle will result in great rewards in the future.</w:t>
      </w:r>
    </w:p>
    <w:p>
      <w:pPr>
        <w:pStyle w:val="rNormal"/>
        <w:widowControl w:val="on"/>
        <w:spacing w:before="240" w:after="240" w:line="240" w:lineRule="auto"/>
        <w:ind w:left="0" w:right="0"/>
        <w:jc w:val="left"/>
      </w:pPr>
      <w:r>
        <w:rPr/>
        <w:t xml:space="preserve">Colossians 1:22-23 is not about a Christian losing their salvation. Christians do not lose their salvation if they fail to “continue in the faith, established and steadfast, and not shifting away from the hope of the Good News.” No Christian has to hold steady on the hope of the Good News and remain “established” and “steadfast” in the Faith in order to be saved. In the 2,000 years since Christ lived, huge numbers of Christians started out strong in the Faith but were somehow deeply wounded in their life or gave in to the cares of life and stopped living the holy and blameless Christian walk. Those Christians were still saved, not because they were saved in the first place by being “established” and “steadfast” and having a firm grip on the hope, but because they were saved by grace by trusting Christ, and they do not lose their salvation by not being “steadfast” in their Christian walk.</w:t>
      </w:r>
    </w:p>
    <w:p>
      <w:pPr>
        <w:pStyle w:val="rNormal"/>
        <w:widowControl w:val="on"/>
        <w:spacing w:before="240" w:after="240" w:line="240" w:lineRule="auto"/>
        <w:ind w:left="0" w:right="0"/>
        <w:jc w:val="left"/>
      </w:pPr>
      <w:r>
        <w:rPr/>
        <w:t xml:space="preserve">Colossians 1:22-23 is also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w:t>
      </w:r>
    </w:p>
    <w:p>
      <w:pPr>
        <w:pStyle w:val="rNormal"/>
        <w:widowControl w:val="on"/>
        <w:spacing w:before="240" w:after="240" w:line="240" w:lineRule="auto"/>
        <w:ind w:left="0" w:right="0"/>
        <w:jc w:val="left"/>
      </w:pPr>
      <w:r>
        <w:rPr/>
        <w:t xml:space="preserve">The troubles in the church at Colossae are reflected in Colossians. For example, Colossians 1:9-10 says Paul was praying for the church “so that you walk in a manner worthy of the Lord, fully pleasing </w:t>
      </w:r>
      <w:r>
        <w:rPr>
          <w:i/>
          <w:iCs/>
        </w:rPr>
        <w:t xml:space="preserve">to him</w:t>
      </w:r>
      <w:r>
        <w:rPr/>
        <w:t xml:space="preserve">, bearing fruit.” Paul encouraged the church to walk in the Lord (Col. 2:6). Some of the church was in danger of losing rewards (the “prize”) by worshiping things like angels and not holding fast to the head, Jesus Christ (Col. 2:18-19). Some of the church was submitting to fleshly regulations (Col. 2:20-23). Paul encouraged the church to put away sinful things, saying, “now you too must put away all these things: anger, rage, malice, defaming speech, obscene language out of your mouth…” (Co. 3:5-9). In light of the straightforward reading of Colossians 1:22-23, and where the church at Colossae was in their walk, and since Paul spoke about rewards in the Epistle (cf. Col. 2:18; 3:24), the evidence shows that Colossians 1:22-23 is speaking about “holy and blameless” as behaviors, not spiritual attributes. Paul would not have written, “since indeed you continue in the Faith” because the Colossians were having trouble continuing in the Faith. Colossians 1:22-23 is saying that the Colossian Christians will be presented holy and blameless on Judgment Day “if” they continue in the Faith. Sadly, based on what Paul wrote to Timothy, the believers in Colossae did not overcome their problems, but were overcome by them and abandoned Paul.</w:t>
      </w:r>
    </w:p>
    <w:p>
      <w:pPr>
        <w:pStyle w:val="rNormal"/>
        <w:widowControl w:val="on"/>
        <w:spacing w:before="240" w:after="240" w:line="240" w:lineRule="auto"/>
        <w:ind w:left="0" w:right="0"/>
        <w:jc w:val="left"/>
      </w:pPr>
      <w:r>
        <w:rPr/>
        <w:t xml:space="preserve">God wants His people—those who have been reconciled to him by the death of Christ—to live blamelessly and receive a rich reward (2 Pet. 1:5-11). But at the Judgment people will be rewarded based on how they have “built” on the foundation of Christ, and if anyone’s work is totally burned up they will enter the Kingdom with nothing—but they themselves will still be saved (1 Cor. 3:11-15). Being a Christian but living an unholy and blameworthy life is certainly sinful and not what God wants for us, but sin does not cause a Christian to become unsaved; Christ’s death paid for human sin and reconciled us to God. Being a Christian and living a sinful life will cost a person rewards they could have had in the future Kingdom of Christ. Christians who are comfortable disobeying God in this life will see things clearly on the Day of Judgment and will be ashamed of how they have behaved, but they will still be saved (1 John 2:28; see commentary on 1 John 2:28).</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the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w:t>
      </w:r>
      <w:r>
        <w:rPr>
          <w:i/>
          <w:iCs/>
        </w:rPr>
        <w:t xml:space="preserve">from God</w:t>
      </w:r>
      <w:r>
        <w:rPr/>
        <w:t xml:space="preserve">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 we have been reconciled to, through the death of Jesus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Christian salvation is permanent; it is a gift and is not earned, and it is given to those who confess Christ as Lord and believe God raised him from the dead (Rom. 10:9). In contrast to salvation, rewards are earned and given to those who have lived godly and obedient lives. Christ “reconciled us” (saved us; Col. 1:22) in order to be able to present us to God “holy, without blemish, and blameless.” If we are thankful for the salvation—the reconciliation that we have—and continue steadfastly in the faith without shifting from the Hope and live godly and obedient lives, then indeed Christ will be able to present us “holy and without blemish and blameless” as Colossians 1:22 says. But if we live ungodly and self-centered lives, then although our salvation is secure, Christ will not be able to present us holy and blameless to God.</w:t>
      </w:r>
    </w:p>
    <w:p>
      <w:pPr>
        <w:pStyle w:val="rNormal"/>
        <w:widowControl w:val="on"/>
        <w:spacing w:before="240" w:after="240" w:line="240" w:lineRule="auto"/>
        <w:ind w:left="0" w:right="0"/>
        <w:jc w:val="left"/>
      </w:pPr>
      <w:r>
        <w:rPr/>
        <w:t xml:space="preserve">[For more about rewards and loss of rewards in the future, see commentary on 2 Cor. 5:10.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which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rFootnRef"/>
        </w:rPr>
        <w:footnoteReference w:id="18907"/>
      </w:r>
      <w:r>
        <w:rPr/>
        <w:t xml:space="preserve"> “take one’s turn in filling up something; fill up on one’s part, supplement.”</w:t>
      </w:r>
      <w:r>
        <w:rPr>
          <w:rStyle w:val="rFootnRef"/>
        </w:rPr>
        <w:footnoteReference w:id="31146"/>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rFootnRef"/>
        </w:rPr>
        <w:footnoteReference w:id="27716"/>
      </w:r>
      <w:r>
        <w:rPr/>
        <w:t xml:space="preserve"> and see John Lightfoot’s defense of the idea of filling up one’s turn.</w:t>
      </w:r>
      <w:r>
        <w:rPr>
          <w:rStyle w:val="rFootnRef"/>
        </w:rPr>
        <w:footnoteReference w:id="32046"/>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undeservingly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in ages past but now was revealed by God to His “holy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rFootnRef"/>
        </w:rPr>
        <w:footnoteReference w:id="14960"/>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“that in </w:t>
      </w:r>
      <w:r>
        <w:rPr>
          <w:i/>
          <w:iCs/>
        </w:rPr>
        <w:t xml:space="preserve">union with</w:t>
      </w:r>
      <w:r>
        <w:rPr/>
        <w:t xml:space="preserve"> Christ Jesus </w:t>
      </w:r>
      <w:r>
        <w:rPr>
          <w:i/>
          <w:iCs/>
        </w:rPr>
        <w:t xml:space="preserve">and</w:t>
      </w:r>
      <w:r>
        <w:rPr/>
        <w:t xml:space="preserve"> through the good news, the Gentiles are fellow heirs and fellow members of the body and fellow partakers of the promise.”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w:t>
      </w:r>
      <w:r>
        <w:rPr>
          <w:i/>
          <w:iCs/>
        </w:rPr>
        <w:t xml:space="preserve">Christos</w:t>
      </w:r>
      <w:r>
        <w:rPr/>
        <w:t xml:space="preserve"> , cf ), that is, they are only found in Christ’s accomplished work on the cross and the fullness of his messianic role in God’s grand plan of redemption.</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rFootnRef"/>
        </w:rPr>
        <w:footnoteReference w:id="26487"/>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rFootnRef"/>
        </w:rPr>
        <w:footnoteReference w:id="14823"/>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rFootnRef"/>
        </w:rPr>
        <w:footnoteReference w:id="18292"/>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Appendix 15: “Usages of ‘Spirit,’” point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translating it literally is confusing to the English reader and misses the point the Greek text is making. This construction is the figure of speech hendiadys (two for one);</w:t>
      </w:r>
      <w:r>
        <w:rPr>
          <w:rStyle w:val="rFootnRef"/>
        </w:rPr>
        <w:footnoteReference w:id="24473"/>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Word Study: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rFootnRef"/>
        </w:rPr>
        <w:footnoteReference w:id="22619"/>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rFootnRef"/>
        </w:rPr>
        <w:footnoteReference w:id="10963"/>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“dwells,”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rFootnRef"/>
        </w:rPr>
        <w:footnoteReference w:id="15334"/>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dwelled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to baskets full of food (Mark 6:43 and 8:20); to the full number of Gentiles (Rom. 11:12, 25); to love being the “fullness” (i.e., fulfilling) of the Law (Rom. 13:10); to the full measure of a blessing (Rom. 15:29); to the fullness of the earth (1 Cor. 10:26); to a fulfilled time period (Gal. 4:4; Eph. 1:10); to the Body being the fullness of Christ (Eph. 1:23); to the fullness of God that each believer has (Eph. 3:19); and to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rFootnRef"/>
        </w:rPr>
        <w:footnoteReference w:id="11951"/>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rFootnRef"/>
        </w:rPr>
        <w:footnoteReference w:id="17173"/>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rFootnRef"/>
        </w:rPr>
        <w:footnoteReference w:id="14420"/>
      </w:r>
      <w:r>
        <w:rPr/>
        <w:t xml:space="preserve"> Many versions translate it as “divine nature,” but Louw-Nida comments: “The expression ‘divine nature’ may be rendered in a number of languages as ‘just what God is like’ or ‘how God is’ or ‘what God is.’</w:t>
      </w:r>
      <w:r>
        <w:rPr>
          <w:rStyle w:val="rFootnRef"/>
        </w:rPr>
        <w:footnoteReference w:id="19238"/>
      </w:r>
      <w:r>
        <w:rPr/>
        <w:t xml:space="preserve"> We thought that the translation “what God is” was very clear.</w:t>
      </w:r>
      <w:r>
        <w:rPr>
          <w:rStyle w:val="rFootnRef"/>
        </w:rPr>
        <w:footnoteReference w:id="18989"/>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rFootnRef"/>
        </w:rPr>
        <w:footnoteReference w:id="23049"/>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rFootnRef"/>
        </w:rPr>
        <w:footnoteReference w:id="18810"/>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In Greek, the phrase “in him” refers to the union we have with Christ, which is in part due to being part of his Body (see commentaries on Rom. 6:3 and Col. 2:11). The italics are added to make the English clear.</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In this case, it is due to our being “in” union with Christ, but the reading “through” seemed much clearer in English (cf. Charles Williams, </w:t>
      </w:r>
      <w:r>
        <w:rPr>
          <w:i/>
          <w:iCs/>
        </w:rPr>
        <w:t xml:space="preserve">The New Testament</w:t>
      </w:r>
      <w:r>
        <w:rPr/>
        <w:t xml:space="preserve">, Cassirer, </w:t>
      </w:r>
      <w:r>
        <w:rPr>
          <w:i/>
          <w:iCs/>
        </w:rPr>
        <w:t xml:space="preserve">God’s New Covenant</w:t>
      </w:r>
      <w:r>
        <w:rPr/>
        <w:t xml:space="preserve">; Goodspeed’s translation). Another option of the translation would have been to repeat the pattern of Col. 2:10, and saying, “</w:t>
      </w:r>
      <w:r>
        <w:rPr>
          <w:i/>
          <w:iCs/>
        </w:rPr>
        <w:t xml:space="preserve">by being</w:t>
      </w:r>
      <w:r>
        <w:rPr/>
        <w:t xml:space="preserve"> in </w:t>
      </w:r>
      <w:r>
        <w:rPr>
          <w:i/>
          <w:iCs/>
        </w:rPr>
        <w:t xml:space="preserve">union with</w:t>
      </w:r>
      <w:r>
        <w:rPr/>
        <w:t xml:space="preserve"> him.”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Analytical Lexicon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rFootnRef"/>
        </w:rPr>
        <w:footnoteReference w:id="18082"/>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will be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“in whom” that many translations have is considered by some to be actually “in which,” referring to baptism, but that is not likely the meaning. The thought of being “in Christ” continues here.</w:t>
      </w:r>
      <w:r>
        <w:rPr>
          <w:rStyle w:val="rFootnRef"/>
        </w:rPr>
        <w:footnoteReference w:id="21807"/>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782"/>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rFootnRef"/>
        </w:rPr>
        <w:footnoteReference w:id="17879"/>
      </w:r>
      <w:r>
        <w:rPr/>
        <w:t xml:space="preserve"> “due to.”</w:t>
      </w:r>
      <w:r>
        <w:rPr>
          <w:rStyle w:val="rFootnRef"/>
        </w:rPr>
        <w:footnoteReference w:id="32086"/>
      </w:r>
      <w:r>
        <w:rPr/>
        <w:t xml:space="preserve"> The Greek </w:t>
      </w:r>
      <w:r>
        <w:rPr>
          <w:i/>
          <w:iCs/>
        </w:rPr>
        <w:t xml:space="preserve">en</w:t>
      </w:r>
      <w:r>
        <w:rPr/>
        <w:t xml:space="preserve"> in some Greek texts, which became part of the Textus Receptus, seems to be a scribal addition.</w:t>
      </w:r>
      <w:r>
        <w:rPr>
          <w:rStyle w:val="rFootnRef"/>
        </w:rPr>
        <w:footnoteReference w:id="12907"/>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rFootnRef"/>
        </w:rPr>
        <w:footnoteReference w:id="20747"/>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rFootnRef"/>
        </w:rPr>
        <w:footnoteReference w:id="12537"/>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rFootnRef"/>
        </w:rPr>
        <w:footnoteReference w:id="22201"/>
      </w:r>
      <w:r>
        <w:rPr/>
        <w:t xml:space="preserve"> which is why so many versions have something about debt, such as “certificate of debt” (HCSB), or “record of debt” (ESV). While c</w:t>
      </w:r>
      <w:r>
        <w:rPr>
          <w:i/>
          <w:iCs/>
        </w:rPr>
        <w:t xml:space="preserve">heirographon</w:t>
      </w:r>
      <w:r>
        <w:rPr/>
        <w:t xml:space="preserve"> was used of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rFootnRef"/>
        </w:rPr>
        <w:footnoteReference w:id="23356"/>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rFootnRef"/>
        </w:rPr>
        <w:footnoteReference w:id="30615"/>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rFootnRef"/>
        </w:rPr>
        <w:footnoteReference w:id="30450"/>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2:15 where Paul uses the phrase, “—the hostility—the law consisting of commands </w:t>
      </w:r>
      <w:r>
        <w:rPr>
          <w:i/>
          <w:iCs/>
        </w:rPr>
        <w:t xml:space="preserve">expressed</w:t>
      </w:r>
      <w:r>
        <w:rPr/>
        <w:t xml:space="preserve"> in regulations.” Paul is directly connecting the terms “hostility,” “law,” and “regulations” in Ephesians 2:15.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rFootnRef"/>
        </w:rPr>
        <w:footnoteReference w:id="14391"/>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rFootnRef"/>
        </w:rPr>
        <w:footnoteReference w:id="16874"/>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the Greek literature shows us that the phrase was used idiomatically for something being “removed.”</w:t>
      </w:r>
      <w:r>
        <w:rPr>
          <w:rStyle w:val="rFootnRef"/>
        </w:rPr>
        <w:footnoteReference w:id="24010"/>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rFootnRef"/>
        </w:rPr>
        <w:footnoteReference w:id="28726"/>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rFootnRef"/>
        </w:rPr>
        <w:footnoteReference w:id="14329"/>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rFootnRef"/>
        </w:rPr>
        <w:footnoteReference w:id="21232"/>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the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rFootnRef"/>
        </w:rPr>
        <w:footnoteReference w:id="22005"/>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Holman Christian Standard Bible, ESV,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rFootnRef"/>
        </w:rPr>
        <w:footnoteReference w:id="32108"/>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said to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that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we think that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rFootnRef"/>
        </w:rPr>
        <w:footnoteReference w:id="27874"/>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rFootnRef"/>
        </w:rPr>
        <w:footnoteReference w:id="22481"/>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rFootnRef"/>
        </w:rPr>
        <w:footnoteReference w:id="13248"/>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rFootnRef"/>
        </w:rPr>
        <w:footnoteReference w:id="15457"/>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because the person who was so quick to judge others was trying to create the impression that he considered himself (or mankind) too lowly to approach God, but “humbly” tried to contact Him through the mediation of angels.</w:t>
      </w:r>
      <w:r>
        <w:rPr>
          <w:rStyle w:val="rFootnRef"/>
        </w:rPr>
        <w:footnoteReference w:id="11774"/>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rFootnRef"/>
        </w:rPr>
        <w:footnoteReference w:id="29687"/>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rFootnRef"/>
        </w:rPr>
        <w:footnoteReference w:id="12217"/>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rFootnRef"/>
        </w:rPr>
        <w:footnoteReference w:id="29291"/>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rFootnRef"/>
        </w:rPr>
        <w:footnoteReference w:id="29140"/>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rFootnRef"/>
        </w:rPr>
        <w:footnoteReference w:id="27348"/>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rFootnRef"/>
        </w:rPr>
        <w:footnoteReference w:id="19208"/>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was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rFootnRef"/>
        </w:rPr>
        <w:footnoteReference w:id="21448"/>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perspective—there is no cause for being puffed up.</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due to the sinews (which is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 a condition of fact regarded as true or settled; </w:t>
      </w:r>
      <w:r>
        <w:rPr>
          <w:i/>
          <w:iCs/>
        </w:rPr>
        <w:t xml:space="preserve">since, because</w:t>
      </w:r>
      <w:r>
        <w:rPr/>
        <w:t xml:space="preserve">.”</w:t>
      </w:r>
      <w:r>
        <w:rPr>
          <w:rStyle w:val="rFootnRef"/>
        </w:rPr>
        <w:footnoteReference w:id="21858"/>
      </w:r>
      <w:r>
        <w:rPr/>
        <w:t xml:space="preserve"> R.C. H. Lenski referred to the </w:t>
      </w:r>
      <w:r>
        <w:rPr>
          <w:i/>
          <w:iCs/>
        </w:rPr>
        <w:t xml:space="preserve">ei</w:t>
      </w:r>
      <w:r>
        <w:rPr/>
        <w:t xml:space="preserve"> here as the “if of reality.”</w:t>
      </w:r>
      <w:r>
        <w:rPr>
          <w:rStyle w:val="rFootnRef"/>
        </w:rPr>
        <w:footnoteReference w:id="32081"/>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rFootnRef"/>
        </w:rPr>
        <w:footnoteReference w:id="21756"/>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w:t>
      </w:r>
      <w:r>
        <w:rPr>
          <w:i/>
          <w:iCs/>
        </w:rPr>
        <w:t xml:space="preserve">Greek-English Lexicon</w:t>
      </w:r>
      <w:r>
        <w:rPr/>
        <w:t xml:space="preserve"> shows this verb as a permissive passive.</w:t>
      </w:r>
      <w:r>
        <w:rPr>
          <w:rStyle w:val="rFootnRef"/>
        </w:rPr>
        <w:footnoteReference w:id="23859"/>
      </w:r>
    </w:p>
    <w:p>
      <w:pPr>
        <w:pStyle w:val="rNormal"/>
        <w:widowControl w:val="on"/>
        <w:spacing w:before="240" w:after="240" w:line="240" w:lineRule="auto"/>
        <w:ind w:left="0" w:right="0" w:firstLine="1"/>
        <w:jc w:val="left"/>
      </w:pPr>
      <w:r>
        <w:rPr>
          <w:b/>
          <w:bCs/>
        </w:rPr>
        <w:t xml:space="preserve">“regulations.”</w:t>
      </w:r>
      <w:r>
        <w:rPr/>
        <w:t xml:space="preserve"> The Greek is the verb, the noun is in Colossians 2:14 (see commentary on Col. 2:14).</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HCSB, ESV, NASB, NIV, RSV, NRSV).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 (New Testament),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rFootnRef"/>
        </w:rPr>
        <w:footnoteReference w:id="17399"/>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loads </w:t>
      </w:r>
      <w:r>
        <w:rPr>
          <w:i/>
          <w:iCs/>
        </w:rPr>
        <w:t xml:space="preserve">that are</w:t>
      </w:r>
      <w:r>
        <w:rPr/>
        <w:t xml:space="preserve"> grievous to carry” (Luke 11:46). It is only pride and arrogance that lead people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 In the Administration of Grace in which we live, the Church Age, Christian salvation is guaranteed, so it can be spoken of as if it had already occurred even though it is still future.</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Christians having a guarantee of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 and Christians will absolutely be in heaven with Christ in the future. So, while Colossians 3:2 is literal and directs us to think about things in heaven, Ephesians 2:6 is figurative and comforts us by letting us know that our salvation is guaranteed.</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the REV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rFootnRef"/>
        </w:rPr>
        <w:footnoteReference w:id="14273"/>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Firstly,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Secondly,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it should not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firstLine="1"/>
        <w:jc w:val="left"/>
      </w:pPr>
      <w:r>
        <w:rPr>
          <w:b/>
          <w:bCs/>
        </w:rPr>
        <w:t xml:space="preserve">“then you also will appear with him in glory.”</w:t>
      </w:r>
      <w:r>
        <w:rPr/>
        <w:t xml:space="preserve"> 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emphatically made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5003"/>
      </w:r>
      <w:r>
        <w:rPr/>
        <w:t xml:space="preserve"> “in a moral sense, the impurity of lustful, luxurious, profligate living; used of impure motives in 1 Thess. 2:3.”</w:t>
      </w:r>
      <w:r>
        <w:rPr>
          <w:rStyle w:val="rFootnRef"/>
        </w:rPr>
        <w:footnoteReference w:id="26575"/>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“You shall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rFootnRef"/>
        </w:rPr>
        <w:footnoteReference w:id="19800"/>
      </w:r>
      <w:r>
        <w:rPr/>
        <w:t xml:space="preserve"> and J. B. Lightfoot</w:t>
      </w:r>
      <w:r>
        <w:rPr>
          <w:rStyle w:val="rFootnRef"/>
        </w:rPr>
        <w:footnoteReference w:id="16732"/>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“I have seen a grievous evil under the sun: wealth hoarded to the harm of its owner” (Eccl. 5:13). It is specifically because earthly wealth promises things like power and safety, but in the end does not deliver those things, that the Bible twice mentions “the deceitfulness of wealth” (Matt. 13:22; Mark 4:19). Wealth is deceitful because it promises much but delivers little. The only true safety in life, and the only true fulfillment for the heart, come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rFootnRef"/>
        </w:rPr>
        <w:footnoteReference w:id="16509"/>
      </w:r>
      <w:r>
        <w:rPr/>
        <w:t xml:space="preserve"> “Speech of a kind that is generally considered in poor taste, </w:t>
      </w:r>
      <w:r>
        <w:rPr>
          <w:i/>
          <w:iCs/>
        </w:rPr>
        <w:t xml:space="preserve">obscene speech, dirty talk</w:t>
      </w:r>
      <w:r>
        <w:rPr/>
        <w:t xml:space="preserve">.</w:t>
      </w:r>
      <w:r>
        <w:rPr>
          <w:rStyle w:val="rFootnRef"/>
        </w:rPr>
        <w:footnoteReference w:id="27589"/>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the REV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rFootnRef"/>
        </w:rPr>
        <w:footnoteReference w:id="26543"/>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rFootnRef"/>
        </w:rPr>
        <w:footnoteReference w:id="32715"/>
      </w:r>
      <w:r>
        <w:rPr/>
        <w:t xml:space="preserve"> The phrase “Christ is all” is ambiguous and there has been much discussion on what this means and why Paul phrased his thought like this. Many Trinitarian interpreters think that, “it speaks to the totality of his presence,”</w:t>
      </w:r>
      <w:r>
        <w:rPr>
          <w:rStyle w:val="rFootnRef"/>
        </w:rPr>
        <w:footnoteReference w:id="17415"/>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[See the commentary on John 10:38 for more information on the “static </w:t>
      </w:r>
      <w:r>
        <w:rPr>
          <w:i/>
          <w:iCs/>
        </w:rPr>
        <w:t xml:space="preserve">en.</w:t>
      </w:r>
      <w:r>
        <w:rPr/>
        <w:t xml:space="preserve">”]</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rFootnRef"/>
        </w:rPr>
        <w:footnoteReference w:id="27905"/>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which do not supply the verb “forgive,” often add words so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is </w:t>
      </w:r>
      <w:r>
        <w:rPr>
          <w:i/>
          <w:iCs/>
        </w:rPr>
        <w:t xml:space="preserve">teleiotētos</w:t>
      </w:r>
      <w:r>
        <w:rPr/>
        <w:t xml:space="preserve"> “perfection,” or “completeness.” The Greek noun translated “completeness” is </w:t>
      </w:r>
      <w:r>
        <w:rPr>
          <w:i/>
          <w:iCs/>
        </w:rPr>
        <w:t xml:space="preserve">teleiotēs</w:t>
      </w:r>
      <w:r>
        <w:rPr/>
        <w:t xml:space="preserve"> (#5047 τελειότης), and it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different meanings, each of them true. When one phrase can be read in at least two different ways, and both are true, it is the figure of speech amphibologia.</w:t>
      </w:r>
      <w:r>
        <w:rPr>
          <w:rStyle w:val="rFootnRef"/>
        </w:rPr>
        <w:footnoteReference w:id="32687"/>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HCSB, ESV,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rFootnRef"/>
        </w:rPr>
        <w:footnoteReference w:id="11698"/>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“bond of completeness.”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rFootnRef"/>
        </w:rPr>
        <w:footnoteReference w:id="11364"/>
      </w:r>
      <w:r>
        <w:rPr/>
        <w:t xml:space="preserve"> C. F. D. Moule writes that </w:t>
      </w:r>
      <w:r>
        <w:rPr>
          <w:i/>
          <w:iCs/>
        </w:rPr>
        <w:t xml:space="preserve">brabeuō</w:t>
      </w:r>
      <w:r>
        <w:rPr/>
        <w:t xml:space="preserve"> is, “apparently one of St. Paul’s athletic metaphors.”</w:t>
      </w:r>
      <w:r>
        <w:rPr>
          <w:rStyle w:val="rFootnRef"/>
        </w:rPr>
        <w:footnoteReference w:id="20697"/>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rFootnRef"/>
        </w:rPr>
        <w:footnoteReference w:id="14438"/>
      </w:r>
    </w:p>
    <w:p>
      <w:pPr>
        <w:pStyle w:val="rNormal"/>
        <w:widowControl w:val="on"/>
        <w:spacing w:before="240" w:after="240" w:line="240" w:lineRule="auto"/>
        <w:ind w:left="0" w:right="0"/>
        <w:jc w:val="left"/>
      </w:pPr>
      <w:r>
        <w:rPr/>
        <w:t xml:space="preserve">Bratcher and Nida catches the sense of the verse very well when it says, “The peace that Christ gives is to guide you in the decisions you make.”</w:t>
      </w:r>
      <w:r>
        <w:rPr>
          <w:rStyle w:val="rFootnRef"/>
        </w:rPr>
        <w:footnoteReference w:id="27379"/>
      </w:r>
      <w:r>
        <w:rPr/>
        <w:t xml:space="preserve"> Kenneth Wuest says, “‘Rule’ is an athletic term, ‘be umpire,’” and he translates the verse as “And the peace of Christ, let it be acting as umpire in your hearts.”</w:t>
      </w:r>
      <w:r>
        <w:rPr>
          <w:rStyle w:val="rFootnRef"/>
        </w:rPr>
        <w:footnoteReference w:id="16563"/>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rFootnRef"/>
        </w:rPr>
        <w:footnoteReference w:id="18520"/>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rFootnRef"/>
        </w:rPr>
        <w:footnoteReference w:id="16595"/>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rFootnRef"/>
        </w:rPr>
        <w:footnoteReference w:id="14338"/>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there are many other verses that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rFootnRef"/>
        </w:rPr>
        <w:footnoteReference w:id="29604"/>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BDAG it means, “to counsel about avoidance or cessation of an improper course of conduct,”</w:t>
      </w:r>
      <w:r>
        <w:rPr>
          <w:rStyle w:val="rFootnRef"/>
        </w:rPr>
        <w:footnoteReference w:id="22749"/>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odē</w:t>
      </w:r>
      <w:r>
        <w:rPr/>
        <w:t xml:space="preserve"> (#5603 ᾠδή, pronounced o-'day). In Greek, </w:t>
      </w:r>
      <w:r>
        <w:rPr>
          <w:i/>
          <w:iCs/>
        </w:rPr>
        <w:t xml:space="preserve">odē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poems. Thus it was important to put the adjective “spiritual” with the word </w:t>
      </w:r>
      <w:r>
        <w:rPr>
          <w:i/>
          <w:iCs/>
        </w:rPr>
        <w:t xml:space="preserve">odē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rFootnRef"/>
        </w:rPr>
        <w:footnoteReference w:id="16745"/>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rFootnRef"/>
        </w:rPr>
        <w:footnoteReference w:id="11649"/>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rFootnRef"/>
        </w:rPr>
        <w:footnoteReference w:id="20699"/>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anekō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HCSB, ESV, NIV,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“for you were once darkness, but now, in the Lord, </w:t>
      </w:r>
      <w:r>
        <w:rPr>
          <w:i/>
          <w:iCs/>
        </w:rPr>
        <w:t xml:space="preserve">you are</w:t>
      </w:r>
      <w:r>
        <w:rPr/>
        <w:t xml:space="preserv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rFootnRef"/>
        </w:rPr>
        <w:footnoteReference w:id="28134"/>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thus the ESV has, “the Spirit as a guarantee.” Another example is Romans 5:17, which says, “the gift of righteousness,” which means, “the gift, namely, righteousness.” The CJB has “the gift of being considered righteous.” Similarly, “the reward of the inheritance” here in Colossians is to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However, when referring to what we “inherit” from God in the future, it can either refer to our inheritance being everlasting life (Eph. 1:14) or our “inheritance” can be the rewards we receive in the future Kingdom of Christ (Gal. 5:19-21; Col. 3:24). The context in which </w:t>
      </w:r>
      <w:r>
        <w:rPr>
          <w:i/>
          <w:iCs/>
        </w:rPr>
        <w:t xml:space="preserve">klēronomia</w:t>
      </w:r>
      <w:r>
        <w:rPr/>
        <w:t xml:space="preserve"> is used determines which meaning it has.</w:t>
      </w:r>
    </w:p>
    <w:p>
      <w:pPr>
        <w:pStyle w:val="rNormal"/>
        <w:widowControl w:val="on"/>
        <w:spacing w:before="240" w:after="240" w:line="240" w:lineRule="auto"/>
        <w:ind w:left="0" w:right="0"/>
        <w:jc w:val="left"/>
      </w:pPr>
      <w:r>
        <w:rPr/>
        <w:t xml:space="preserve">That the context determines the meaning is standard for many words. For example, the Greek word </w:t>
      </w:r>
      <w:r>
        <w:rPr>
          <w:i/>
          <w:iCs/>
        </w:rPr>
        <w:t xml:space="preserve">sōzō</w:t>
      </w:r>
      <w:r>
        <w:rPr/>
        <w:t xml:space="preserve"> is used of being “saved” (given everlasting life) in many contexts, but it also can mean to be “healed” (Luke 7:50), or “rescued” from immediate danger (Acts 27:31). Similarly, “inheritance” or “inherit” does not have a single meaning that then determines the context, rather the word has multiple meanings and we determine which meaning it has in any given verse by studying the verse itself and the context.</w:t>
      </w:r>
    </w:p>
    <w:p>
      <w:pPr>
        <w:pStyle w:val="rNormal"/>
        <w:widowControl w:val="on"/>
        <w:spacing w:before="240" w:after="240" w:line="240" w:lineRule="auto"/>
        <w:ind w:left="0" w:right="0"/>
        <w:jc w:val="left"/>
      </w:pPr>
      <w:r>
        <w:rPr/>
        <w:t xml:space="preserve">A person can be saved and live in the future kingdom without having an “inheritance,” a reward, in it, just as Abraham lived in the Promised Land for 100 years (from age 75 until his death at 175) but did not have an inheritance there (Acts 7:5). The Bible has many stern warnings, worded in many different ways, that a person can be saved and live in the future Kingdom of Christ on earth, but not have an “inheritance” there. For example, Galatians 5:19-21 speaks of the works of the flesh, and says that people who live overtly sinful lives “will not inherit” the Kingdom: they will be saved, but have no inheritance in it. Every Christian should desire to rule with Christ in the coming kingdom on earth, and that means seeking God first and loving and obeying Him.</w:t>
      </w:r>
    </w:p>
    <w:p>
      <w:pPr>
        <w:pStyle w:val="rNormal"/>
        <w:widowControl w:val="on"/>
        <w:spacing w:before="240" w:after="240" w:line="240" w:lineRule="auto"/>
        <w:ind w:left="0" w:right="0"/>
        <w:jc w:val="left"/>
      </w:pPr>
      <w:r>
        <w:rPr/>
        <w:t xml:space="preserve">Here in Colossians 3:24, the “reward” or “repayment” that we receive from God for the good works we have done is called an “inheritance.” In other words, being saved and getting in the Kingdom is not the “inheritance,” but the rewards that people receive in the Kingdom are the inheritance. Here in Colossians, the “inheritance” is specifically said to be the reward, and thus Colossians 3:24 helps explain difficult verses such as Galatians 5:21 and Ephesians 5:5, which say that flagrant sinners will not inherit, or have an inheritance in, the Kingdom of God, meaning they will not have a reward.</w:t>
      </w:r>
    </w:p>
    <w:p>
      <w:pPr>
        <w:pStyle w:val="rNormal"/>
        <w:widowControl w:val="on"/>
        <w:spacing w:before="240" w:after="240" w:line="240" w:lineRule="auto"/>
        <w:ind w:left="0" w:right="0"/>
        <w:jc w:val="left"/>
      </w:pPr>
      <w:r>
        <w:rPr/>
        <w:t xml:space="preserve">People are saved by faith in Christ and not by works, and when a person is “saved,” or born again (1 Pet. 1:23) that person has a guarantee of salvation; his salvation is secure and cannot be lost (Eph. 1:13-14). However, God created people to serve Him, and there is more to the future than just salvation. People who serve God will get a reward, an inheritance.</w:t>
      </w:r>
    </w:p>
    <w:p>
      <w:pPr>
        <w:pStyle w:val="rNormal"/>
        <w:widowControl w:val="on"/>
        <w:spacing w:before="240" w:after="240" w:line="240" w:lineRule="auto"/>
        <w:ind w:left="0" w:right="0"/>
        <w:jc w:val="left"/>
      </w:pPr>
      <w:r>
        <w:rPr/>
        <w:t xml:space="preserve">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 For sins that result in people not having rewards, see Gal. 5:19-21 and commentary on Gal. 5:21.]</w:t>
      </w:r>
    </w:p>
    <w:p>
      <w:pPr>
        <w:pStyle w:val="rNormal"/>
        <w:widowControl w:val="on"/>
        <w:spacing w:before="240" w:after="240" w:line="240" w:lineRule="auto"/>
        <w:ind w:left="0" w:right="0" w:firstLine="1"/>
        <w:jc w:val="left"/>
      </w:pPr>
      <w:r>
        <w:rPr>
          <w:b/>
          <w:bCs/>
        </w:rPr>
        <w:t xml:space="preserve">“reward.”</w:t>
      </w:r>
      <w:r>
        <w:rPr/>
        <w:t xml:space="preserve"> This is from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rFootnRef"/>
        </w:rPr>
        <w:footnoteReference w:id="27880"/>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doing good and serving God from the heart, but it would be possible, if a person did evil, that his “repayment” would be for the evil he had done. Salvation is by grace (Eph. 2:8), but the reward, or the “repayment,” that we receive at the Judgment will be in correspondence to the kind and quality of work we have done. When Jesus comes to earth and sets up his kingdom he will reward or punish people for how they have behaved in response to his free gift of salvation.</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rFootnRef"/>
        </w:rPr>
        <w:footnoteReference w:id="21522"/>
      </w:r>
      <w:r>
        <w:rPr/>
        <w:t xml:space="preserve"> This injunction from the imperative mood both matches the previous imperative (“do,” Col. 3:23), and it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Gal. 5:21; Eph. 5:5;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78245912"/>
        </w:numPr>
        <w:spacing w:before="0" w:after="0" w:line="240" w:lineRule="auto"/>
        <w:rPr/>
      </w:pPr>
      <w:r>
        <w:rPr/>
        <w:t xml:space="preserve">to redeem by payment of a price and thus recover from the power of another; to ransom;</w:t>
      </w:r>
    </w:p>
    <w:p>
      <w:pPr>
        <w:numPr>
          <w:ilvl w:val="0"/>
          <w:numId w:val="78245912"/>
        </w:numPr>
        <w:spacing w:before="0" w:after="0" w:line="240" w:lineRule="auto"/>
        <w:rPr/>
      </w:pPr>
      <w:r>
        <w:rPr/>
        <w:t xml:space="preserve">metaphorically, of Christ freeing the elect from the dominion of the Mosaic Law at the price of his vicarious death</w:t>
      </w:r>
    </w:p>
    <w:p>
      <w:pPr>
        <w:numPr>
          <w:ilvl w:val="0"/>
          <w:numId w:val="78245912"/>
        </w:numPr>
        <w:spacing w:before="0" w:after="0" w:line="240" w:lineRule="auto"/>
        <w:rPr/>
      </w:pPr>
      <w:r>
        <w:rPr/>
        <w:t xml:space="preserve">to buy up, to buy up for one’s self</w:t>
      </w:r>
    </w:p>
    <w:p>
      <w:pPr>
        <w:numPr>
          <w:ilvl w:val="0"/>
          <w:numId w:val="78245912"/>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rFootnRef"/>
        </w:rPr>
        <w:footnoteReference w:id="16711"/>
      </w:r>
      <w:r>
        <w:rPr/>
        <w:t xml:space="preserve"> However, when the pagans said “in grace” (with grace), they meant your speech should include witty and clever remarks. In contrast, what Paul means is the language we use should be the outflow of the grace of God at work in our hearts. This is why the REV went with “with grace” instead of “gracious,” like many other versions (HCSB, ESV,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rFootnRef"/>
        </w:rPr>
        <w:footnoteReference w:id="24349"/>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4:7</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a variation in the Greek texts, with some reading </w:t>
      </w:r>
      <w:r>
        <w:rPr>
          <w:i/>
          <w:iCs/>
        </w:rPr>
        <w:t xml:space="preserve">zelos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is to ask which reading would be the most difficult, and which the most sense to create.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rFootnRef"/>
        </w:rPr>
        <w:footnoteReference w:id="17389"/>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rFootnRef"/>
        </w:rPr>
        <w:footnoteReference w:id="21475"/>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Because it can refer to the lifelong call of a person to ministry,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670767cdfa5766e6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616600"/>
      <w:docPartObj>
        <w:docPartGallery w:val="Page Numbers (Bottom of Page)"/>
        <w:docPartUnique/>
      </w:docPartObj>
    </w:sdtPr>
    <w:sdtContent>
      <w:sdt>
        <w:sdtPr>
          <w:id w:val="2526855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260">
    <w:p>
      <w:pPr>
        <w:pStyle w:val="rFootn"/>
      </w:pPr>
      <w:r>
        <w:rPr>
          <w:rStyle w:val="rFootnRef"/>
        </w:rPr>
        <w:footnoteRef/>
      </w:r>
      <w:r>
        <w:t xml:space="preserve"> Cf. Peter O’Brien, </w:t>
      </w:r>
      <w:r>
        <w:rPr>
          <w:i/>
        </w:rPr>
        <w:t xml:space="preserve">Colossians and Philemon</w:t>
      </w:r>
      <w:r>
        <w:t xml:space="preserve"> [WBC], 1-3.</w:t>
      </w:r>
    </w:p>
  </w:footnote>
  <w:footnote w:id="31394">
    <w:p>
      <w:pPr>
        <w:pStyle w:val="rFootn"/>
      </w:pPr>
      <w:r>
        <w:rPr>
          <w:rStyle w:val="rFootnRef"/>
        </w:rPr>
        <w:footnoteRef/>
      </w:r>
      <w:r>
        <w:t xml:space="preserve"> James R. Dunn, </w:t>
      </w:r>
      <w:r>
        <w:rPr>
          <w:i/>
        </w:rPr>
        <w:t xml:space="preserve">The Epistles to the Colossians and to Philemon</w:t>
      </w:r>
      <w:r>
        <w:t xml:space="preserve"> [NIGTC], 52.</w:t>
      </w:r>
    </w:p>
  </w:footnote>
  <w:footnote w:id="12685">
    <w:p>
      <w:pPr>
        <w:pStyle w:val="rFootn"/>
      </w:pPr>
      <w:r>
        <w:rPr>
          <w:rStyle w:val="rFootnRef"/>
        </w:rPr>
        <w:footnoteRef/>
      </w:r>
      <w:r>
        <w:t xml:space="preserve"> Wallace, </w:t>
      </w:r>
      <w:r>
        <w:rPr>
          <w:i/>
        </w:rPr>
        <w:t xml:space="preserve">Greek Grammar</w:t>
      </w:r>
      <w:r>
        <w:t xml:space="preserve">, 625.</w:t>
      </w:r>
    </w:p>
  </w:footnote>
  <w:footnote w:id="31526">
    <w:p>
      <w:pPr>
        <w:pStyle w:val="rFootn"/>
      </w:pPr>
      <w:r>
        <w:rPr>
          <w:rStyle w:val="rFootnRef"/>
        </w:rPr>
        <w:footnoteRef/>
      </w:r>
      <w:r>
        <w:t xml:space="preserve"> Cf. Wallace, </w:t>
      </w:r>
      <w:r>
        <w:rPr>
          <w:i/>
        </w:rPr>
        <w:t xml:space="preserve">Greek Grammar</w:t>
      </w:r>
      <w:r>
        <w:t xml:space="preserve">, 631.</w:t>
      </w:r>
    </w:p>
  </w:footnote>
  <w:footnote w:id="19299">
    <w:p>
      <w:pPr>
        <w:pStyle w:val="rFootn"/>
      </w:pPr>
      <w:r>
        <w:rPr>
          <w:rStyle w:val="rFootnRef"/>
        </w:rPr>
        <w:footnoteRef/>
      </w:r>
      <w:r>
        <w:t xml:space="preserve"> BDAG, s.v. “ἀπόκειμαι.”</w:t>
      </w:r>
    </w:p>
  </w:footnote>
  <w:footnote w:id="26728">
    <w:p>
      <w:pPr>
        <w:pStyle w:val="rFootn"/>
      </w:pPr>
      <w:r>
        <w:rPr>
          <w:rStyle w:val="rFootnRef"/>
        </w:rPr>
        <w:footnoteRef/>
      </w:r>
      <w:r>
        <w:t xml:space="preserve"> Wallace, </w:t>
      </w:r>
      <w:r>
        <w:rPr>
          <w:i/>
        </w:rPr>
        <w:t xml:space="preserve">Greek Grammar</w:t>
      </w:r>
      <w:r>
        <w:t xml:space="preserve">, 95.</w:t>
      </w:r>
    </w:p>
  </w:footnote>
  <w:footnote w:id="32578">
    <w:p>
      <w:pPr>
        <w:pStyle w:val="rFootn"/>
      </w:pPr>
      <w:r>
        <w:rPr>
          <w:rStyle w:val="rFootnRef"/>
        </w:rPr>
        <w:footnoteRef/>
      </w:r>
      <w:r>
        <w:t xml:space="preserve"> Cf. Meyer; Lange; Bratcher &amp;amp; Nida; </w:t>
      </w:r>
      <w:r>
        <w:rPr>
          <w:i/>
        </w:rPr>
        <w:t xml:space="preserve">Expositor’s Greek Testament</w:t>
      </w:r>
      <w:r>
        <w:t xml:space="preserve">.</w:t>
      </w:r>
    </w:p>
  </w:footnote>
  <w:footnote w:id="23014">
    <w:p>
      <w:pPr>
        <w:pStyle w:val="rFootn"/>
      </w:pPr>
      <w:r>
        <w:rPr>
          <w:rStyle w:val="rFootnRef"/>
        </w:rPr>
        <w:footnoteRef/>
      </w:r>
      <w:r>
        <w:t xml:space="preserve"> Lenski, </w:t>
      </w:r>
      <w:r>
        <w:rPr>
          <w:i/>
        </w:rPr>
        <w:t xml:space="preserve">Colossians, Thessalonians, Timothy, Titus, and Philemon</w:t>
      </w:r>
      <w:r>
        <w:t xml:space="preserve">, 28.</w:t>
      </w:r>
    </w:p>
  </w:footnote>
  <w:footnote w:id="24428">
    <w:p>
      <w:pPr>
        <w:pStyle w:val="rFootn"/>
      </w:pPr>
      <w:r>
        <w:rPr>
          <w:rStyle w:val="rFootnRef"/>
        </w:rPr>
        <w:footnoteRef/>
      </w:r>
      <w:r>
        <w:t xml:space="preserve"> O’Brien, </w:t>
      </w:r>
      <w:r>
        <w:rPr>
          <w:i/>
        </w:rPr>
        <w:t xml:space="preserve">Colossians and Philemon</w:t>
      </w:r>
      <w:r>
        <w:t xml:space="preserve"> [WBC], 15.</w:t>
      </w:r>
    </w:p>
  </w:footnote>
  <w:footnote w:id="25877">
    <w:p>
      <w:pPr>
        <w:pStyle w:val="rFootn"/>
      </w:pPr>
      <w:r>
        <w:rPr>
          <w:rStyle w:val="rFootnRef"/>
        </w:rPr>
        <w:footnoteRef/>
      </w:r>
      <w:r>
        <w:t xml:space="preserve"> Wallace, </w:t>
      </w:r>
      <w:r>
        <w:rPr>
          <w:i/>
        </w:rPr>
        <w:t xml:space="preserve">Greek Grammar</w:t>
      </w:r>
      <w:r>
        <w:t xml:space="preserve">, 247.</w:t>
      </w:r>
    </w:p>
  </w:footnote>
  <w:footnote w:id="22954">
    <w:p>
      <w:pPr>
        <w:pStyle w:val="rFootn"/>
      </w:pPr>
      <w:r>
        <w:rPr>
          <w:rStyle w:val="rFootnRef"/>
        </w:rPr>
        <w:footnoteRef/>
      </w:r>
      <w:r>
        <w:t xml:space="preserve"> Robertson, </w:t>
      </w:r>
      <w:r>
        <w:rPr>
          <w:i/>
        </w:rPr>
        <w:t xml:space="preserve">Grammar of the Greek New Testament</w:t>
      </w:r>
      <w:r>
        <w:t xml:space="preserve">, 790-92.</w:t>
      </w:r>
    </w:p>
  </w:footnote>
  <w:footnote w:id="11134">
    <w:p>
      <w:pPr>
        <w:pStyle w:val="rFootn"/>
      </w:pPr>
      <w:r>
        <w:rPr>
          <w:rStyle w:val="rFootnRef"/>
        </w:rPr>
        <w:footnoteRef/>
      </w:r>
      <w:r>
        <w:t xml:space="preserve"> Hendriksen, </w:t>
      </w:r>
      <w:r>
        <w:rPr>
          <w:i/>
        </w:rPr>
        <w:t xml:space="preserve">New Testament Commentary: Colossians and Philemon</w:t>
      </w:r>
      <w:r>
        <w:t xml:space="preserve">, 56-57.</w:t>
      </w:r>
    </w:p>
  </w:footnote>
  <w:footnote w:id="17530">
    <w:p>
      <w:pPr>
        <w:pStyle w:val="rFootn"/>
      </w:pPr>
      <w:r>
        <w:rPr>
          <w:rStyle w:val="rFootnRef"/>
        </w:rPr>
        <w:footnoteRef/>
      </w:r>
      <w:r>
        <w:t xml:space="preserve"> Louw and Nida, s.v. “ἐπίγνωσις.”</w:t>
      </w:r>
    </w:p>
  </w:footnote>
  <w:footnote w:id="12589">
    <w:p>
      <w:pPr>
        <w:pStyle w:val="rFootn"/>
      </w:pPr>
      <w:r>
        <w:rPr>
          <w:rStyle w:val="rFootnRef"/>
        </w:rPr>
        <w:footnoteRef/>
      </w:r>
      <w:r>
        <w:t xml:space="preserve"> Cf. Peter T. O’Brien, </w:t>
      </w:r>
      <w:r>
        <w:rPr>
          <w:i/>
        </w:rPr>
        <w:t xml:space="preserve">Colossians</w:t>
      </w:r>
      <w:r>
        <w:t xml:space="preserve"> [WBC], 25-27; contra Lenski.</w:t>
      </w:r>
    </w:p>
  </w:footnote>
  <w:footnote w:id="13017">
    <w:p>
      <w:pPr>
        <w:pStyle w:val="rFootn"/>
      </w:pPr>
      <w:r>
        <w:rPr>
          <w:rStyle w:val="rFootnRef"/>
        </w:rPr>
        <w:footnoteRef/>
      </w:r>
      <w:r>
        <w:t xml:space="preserve"> Bruce Metzger, </w:t>
      </w:r>
      <w:r>
        <w:rPr>
          <w:i/>
        </w:rPr>
        <w:t xml:space="preserve">Textual Commentary</w:t>
      </w:r>
      <w:r>
        <w:t xml:space="preserve">, 620.</w:t>
      </w:r>
    </w:p>
  </w:footnote>
  <w:footnote w:id="27431">
    <w:p>
      <w:pPr>
        <w:pStyle w:val="rFootn"/>
      </w:pPr>
      <w:r>
        <w:rPr>
          <w:rStyle w:val="rFootnRef"/>
        </w:rPr>
        <w:footnoteRef/>
      </w:r>
      <w:r>
        <w:t xml:space="preserve"> Heinrich Meyer, </w:t>
      </w:r>
      <w:r>
        <w:rPr>
          <w:i/>
        </w:rPr>
        <w:t xml:space="preserve">Philippians, Colossians, and to Philemon</w:t>
      </w:r>
      <w:r>
        <w:t xml:space="preserve">, 219.</w:t>
      </w:r>
    </w:p>
  </w:footnote>
  <w:footnote w:id="15956">
    <w:p>
      <w:pPr>
        <w:pStyle w:val="rFootn"/>
      </w:pPr>
      <w:r>
        <w:rPr>
          <w:rStyle w:val="rFootnRef"/>
        </w:rPr>
        <w:footnoteRef/>
      </w:r>
      <w:r>
        <w:t xml:space="preserve"> O’Brien, </w:t>
      </w:r>
      <w:r>
        <w:rPr>
          <w:i/>
        </w:rPr>
        <w:t xml:space="preserve">Colossians</w:t>
      </w:r>
      <w:r>
        <w:t xml:space="preserve"> [WBC], 25-27.</w:t>
      </w:r>
    </w:p>
  </w:footnote>
  <w:footnote w:id="16447">
    <w:p>
      <w:pPr>
        <w:pStyle w:val="rFootn"/>
      </w:pPr>
      <w:r>
        <w:rPr>
          <w:rStyle w:val="rFootnRef"/>
        </w:rPr>
        <w:footnoteRef/>
      </w:r>
      <w:r>
        <w:t xml:space="preserve"> J. B. Lightfoot, </w:t>
      </w:r>
      <w:r>
        <w:rPr>
          <w:i/>
        </w:rPr>
        <w:t xml:space="preserve">St. Paul’s Epistles to the Colossians and Philemon</w:t>
      </w:r>
      <w:r>
        <w:t xml:space="preserve">, 139.</w:t>
      </w:r>
    </w:p>
  </w:footnote>
  <w:footnote w:id="14566">
    <w:p>
      <w:pPr>
        <w:pStyle w:val="rFootn"/>
      </w:pPr>
      <w:r>
        <w:rPr>
          <w:rStyle w:val="rFootnRef"/>
        </w:rPr>
        <w:footnoteRef/>
      </w:r>
      <w:r>
        <w:t xml:space="preserve"> Bruce M. Metzger, </w:t>
      </w:r>
      <w:r>
        <w:rPr>
          <w:i/>
        </w:rPr>
        <w:t xml:space="preserve">Textual Commentary</w:t>
      </w:r>
      <w:r>
        <w:t xml:space="preserve">.</w:t>
      </w:r>
    </w:p>
  </w:footnote>
  <w:footnote w:id="15356">
    <w:p>
      <w:pPr>
        <w:pStyle w:val="rFootn"/>
      </w:pPr>
      <w:r>
        <w:rPr>
          <w:rStyle w:val="rFootnRef"/>
        </w:rPr>
        <w:footnoteRef/>
      </w:r>
      <w:r>
        <w:t xml:space="preserve"> See also, John W. Schoenheit, </w:t>
      </w:r>
      <w:r>
        <w:rPr>
          <w:i/>
        </w:rPr>
        <w:t xml:space="preserve">The Christian’s Hope</w:t>
      </w:r>
      <w:r>
        <w:t xml:space="preserve">, 239.</w:t>
      </w:r>
    </w:p>
  </w:footnote>
  <w:footnote w:id="13168">
    <w:p>
      <w:pPr>
        <w:pStyle w:val="rFootn"/>
      </w:pPr>
      <w:r>
        <w:rPr>
          <w:rStyle w:val="rFootnRef"/>
        </w:rPr>
        <w:footnoteRef/>
      </w:r>
      <w:r>
        <w:t xml:space="preserve"> Cf. R. C. H. Lenski, </w:t>
      </w:r>
      <w:r>
        <w:rPr>
          <w:i/>
        </w:rPr>
        <w:t xml:space="preserve">Interpretation of St. Paul’s Epistles to the Colossians and Thessalonians, Timothy, Titus, and Philemon</w:t>
      </w:r>
      <w:r>
        <w:t xml:space="preserve">, 53.</w:t>
      </w:r>
    </w:p>
  </w:footnote>
  <w:footnote w:id="23728">
    <w:p>
      <w:pPr>
        <w:pStyle w:val="rFootn"/>
      </w:pPr>
      <w:r>
        <w:rPr>
          <w:rStyle w:val="rFootnRef"/>
        </w:rPr>
        <w:footnoteRef/>
      </w:r>
      <w:r>
        <w:t xml:space="preserve"> Chang, </w:t>
      </w:r>
      <w:r>
        <w:rPr>
          <w:i/>
        </w:rPr>
        <w:t xml:space="preserve">The Only Perfect Man</w:t>
      </w:r>
      <w:r>
        <w:t xml:space="preserve">, 150.</w:t>
      </w:r>
    </w:p>
  </w:footnote>
  <w:footnote w:id="24415">
    <w:p>
      <w:pPr>
        <w:pStyle w:val="rFootn"/>
      </w:pPr>
      <w:r>
        <w:rPr>
          <w:rStyle w:val="rFootnRef"/>
        </w:rPr>
        <w:footnoteRef/>
      </w:r>
      <w:r>
        <w:t xml:space="preserve"> See F. F. Bruce, </w:t>
      </w:r>
      <w:r>
        <w:rPr>
          <w:i/>
        </w:rPr>
        <w:t xml:space="preserve">Colossians, Philemon, and Ephesians</w:t>
      </w:r>
      <w:r>
        <w:t xml:space="preserve"> [NICNT], 61.</w:t>
      </w:r>
    </w:p>
  </w:footnote>
  <w:footnote w:id="30187">
    <w:p>
      <w:pPr>
        <w:pStyle w:val="rFootn"/>
      </w:pPr>
      <w:r>
        <w:rPr>
          <w:rStyle w:val="rFootnRef"/>
        </w:rPr>
        <w:footnoteRef/>
      </w:r>
      <w:r>
        <w:t xml:space="preserve"> Cf. Peter O’Brien, </w:t>
      </w:r>
      <w:r>
        <w:rPr>
          <w:i/>
        </w:rPr>
        <w:t xml:space="preserve">Colossians, Philemon</w:t>
      </w:r>
      <w:r>
        <w:t xml:space="preserve"> [WBC], 45.</w:t>
      </w:r>
    </w:p>
  </w:footnote>
  <w:footnote w:id="17008">
    <w:p>
      <w:pPr>
        <w:pStyle w:val="rFootn"/>
      </w:pPr>
      <w:r>
        <w:rPr>
          <w:rStyle w:val="rFootnRef"/>
        </w:rPr>
        <w:footnoteRef/>
      </w:r>
      <w:r>
        <w:t xml:space="preserve"> Bullinger, </w:t>
      </w:r>
      <w:r>
        <w:rPr>
          <w:i/>
        </w:rPr>
        <w:t xml:space="preserve">Figures of Speech</w:t>
      </w:r>
      <w:r>
        <w:t xml:space="preserve">, 245, “epanadiplosis.”</w:t>
      </w:r>
    </w:p>
  </w:footnote>
  <w:footnote w:id="28071">
    <w:p>
      <w:pPr>
        <w:pStyle w:val="rFootn"/>
      </w:pPr>
      <w:r>
        <w:rPr>
          <w:rStyle w:val="rFootnRef"/>
        </w:rPr>
        <w:footnoteRef/>
      </w:r>
      <w:r>
        <w:t xml:space="preserve"> J. B. Lightfoot, </w:t>
      </w:r>
      <w:r>
        <w:rPr>
          <w:i/>
        </w:rPr>
        <w:t xml:space="preserve">St. Paul’s Epistles to the Colossians and Philemon</w:t>
      </w:r>
      <w:r>
        <w:t xml:space="preserve">, 152.</w:t>
      </w:r>
    </w:p>
  </w:footnote>
  <w:footnote w:id="18542">
    <w:p>
      <w:pPr>
        <w:pStyle w:val="rFootn"/>
      </w:pPr>
      <w:r>
        <w:rPr>
          <w:rStyle w:val="rFootnRef"/>
        </w:rPr>
        <w:footnoteRef/>
      </w:r>
      <w:r>
        <w:t xml:space="preserve"> Barth and Blanke, </w:t>
      </w:r>
      <w:r>
        <w:rPr>
          <w:i/>
        </w:rPr>
        <w:t xml:space="preserve">Colossians</w:t>
      </w:r>
      <w:r>
        <w:t xml:space="preserve"> [AB], 197-98.</w:t>
      </w:r>
    </w:p>
  </w:footnote>
  <w:footnote w:id="19888">
    <w:p>
      <w:pPr>
        <w:pStyle w:val="rFootn"/>
      </w:pPr>
      <w:r>
        <w:rPr>
          <w:rStyle w:val="rFootnRef"/>
        </w:rPr>
        <w:footnoteRef/>
      </w:r>
      <w:r>
        <w:t xml:space="preserve"> Moo, </w:t>
      </w:r>
      <w:r>
        <w:rPr>
          <w:i/>
        </w:rPr>
        <w:t xml:space="preserve">Letters to the Colossians and to Philemon</w:t>
      </w:r>
      <w:r>
        <w:t xml:space="preserve"> [PNTC], 125.</w:t>
      </w:r>
    </w:p>
  </w:footnote>
  <w:footnote w:id="19701">
    <w:p>
      <w:pPr>
        <w:pStyle w:val="rFootn"/>
      </w:pPr>
      <w:r>
        <w:rPr>
          <w:rStyle w:val="rFootnRef"/>
        </w:rPr>
        <w:footnoteRef/>
      </w:r>
      <w:r>
        <w:t xml:space="preserve"> Plato, Cratylus, Parmenides, Greater Hippias, Lesser Hippias: English Text, ed. G. P. Goold, trans. H. N. Fowler, The Loeb Classical Library (Cambridge, MA; London: Harvard University Press; William Heinemann Ltd, 1977), 67.</w:t>
      </w:r>
    </w:p>
  </w:footnote>
  <w:footnote w:id="29357">
    <w:p>
      <w:pPr>
        <w:pStyle w:val="rFootn"/>
      </w:pPr>
      <w:r>
        <w:rPr>
          <w:rStyle w:val="rFootnRef"/>
        </w:rPr>
        <w:footnoteRef/>
      </w:r>
      <w:r>
        <w:t xml:space="preserve"> Lenski,</w:t>
      </w:r>
      <w:r>
        <w:rPr>
          <w:i/>
        </w:rPr>
        <w:t xml:space="preserve"> St. Paul’s Epistles to the Colossians and Thessalonians</w:t>
      </w:r>
      <w:r>
        <w:t xml:space="preserve">, 59.</w:t>
      </w:r>
    </w:p>
  </w:footnote>
  <w:footnote w:id="23065">
    <w:p>
      <w:pPr>
        <w:pStyle w:val="rFootn"/>
      </w:pPr>
      <w:r>
        <w:rPr>
          <w:rStyle w:val="rFootnRef"/>
        </w:rPr>
        <w:footnoteRef/>
      </w:r>
      <w:r>
        <w:t xml:space="preserve"> Moulton and Milliagan, </w:t>
      </w:r>
      <w:r>
        <w:rPr>
          <w:i/>
        </w:rPr>
        <w:t xml:space="preserve">Vocabulary of the Greek New Testament</w:t>
      </w:r>
      <w:r>
        <w:t xml:space="preserve">, s.v. “συνίστημι,” 608.</w:t>
      </w:r>
    </w:p>
  </w:footnote>
  <w:footnote w:id="17252">
    <w:p>
      <w:pPr>
        <w:pStyle w:val="rFootn"/>
      </w:pPr>
      <w:r>
        <w:rPr>
          <w:rStyle w:val="rFootnRef"/>
        </w:rPr>
        <w:footnoteRef/>
      </w:r>
      <w:r>
        <w:t xml:space="preserve"> BDAG </w:t>
      </w:r>
      <w:r>
        <w:rPr>
          <w:i/>
        </w:rPr>
        <w:t xml:space="preserve">Greek-English Lexicon</w:t>
      </w:r>
      <w:r>
        <w:t xml:space="preserve">, s.v. “συνίστημι.”</w:t>
      </w:r>
    </w:p>
  </w:footnote>
  <w:footnote w:id="28305">
    <w:p>
      <w:pPr>
        <w:pStyle w:val="rFootn"/>
      </w:pPr>
      <w:r>
        <w:rPr>
          <w:rStyle w:val="rFootnRef"/>
        </w:rPr>
        <w:footnoteRef/>
      </w:r>
      <w:r>
        <w:t xml:space="preserve"> Friberg, </w:t>
      </w:r>
      <w:r>
        <w:rPr>
          <w:i/>
        </w:rPr>
        <w:t xml:space="preserve">Analytical Lexicon</w:t>
      </w:r>
      <w:r>
        <w:t xml:space="preserve">, s.v. “συνίστημι.”</w:t>
      </w:r>
    </w:p>
  </w:footnote>
  <w:footnote w:id="26646">
    <w:p>
      <w:pPr>
        <w:pStyle w:val="rFootn"/>
      </w:pPr>
      <w:r>
        <w:rPr>
          <w:rStyle w:val="rFootnRef"/>
        </w:rPr>
        <w:footnoteRef/>
      </w:r>
      <w:r>
        <w:t xml:space="preserve"> Louw and Nida, </w:t>
      </w:r>
      <w:r>
        <w:rPr>
          <w:i/>
        </w:rPr>
        <w:t xml:space="preserve">Greek-English Lexicon</w:t>
      </w:r>
      <w:r>
        <w:t xml:space="preserve">, s.v. “συνίστημι.”</w:t>
      </w:r>
    </w:p>
  </w:footnote>
  <w:footnote w:id="20771">
    <w:p>
      <w:pPr>
        <w:pStyle w:val="rFootn"/>
      </w:pPr>
      <w:r>
        <w:rPr>
          <w:rStyle w:val="rFootnRef"/>
        </w:rPr>
        <w:footnoteRef/>
      </w:r>
      <w:r>
        <w:t xml:space="preserve"> Richard R. Melick, </w:t>
      </w:r>
      <w:r>
        <w:rPr>
          <w:i/>
        </w:rPr>
        <w:t xml:space="preserve">Philippians, Colossians, Philemon</w:t>
      </w:r>
      <w:r>
        <w:t xml:space="preserve"> [NAC], 217. Melick even goes so far to say that Jesus is the foreman of the construction of the universe.</w:t>
      </w:r>
    </w:p>
  </w:footnote>
  <w:footnote w:id="24420">
    <w:p>
      <w:pPr>
        <w:pStyle w:val="rFootn"/>
      </w:pPr>
      <w:r>
        <w:rPr>
          <w:rStyle w:val="rFootnRef"/>
        </w:rPr>
        <w:footnoteRef/>
      </w:r>
      <w:r>
        <w:t xml:space="preserve"> Lenski, </w:t>
      </w:r>
      <w:r>
        <w:rPr>
          <w:i/>
        </w:rPr>
        <w:t xml:space="preserve">Colossians, Thessalonians, Timothy, Titus, and Philemon</w:t>
      </w:r>
      <w:r>
        <w:t xml:space="preserve">, 62.</w:t>
      </w:r>
    </w:p>
  </w:footnote>
  <w:footnote w:id="21694">
    <w:p>
      <w:pPr>
        <w:pStyle w:val="rFootn"/>
      </w:pPr>
      <w:r>
        <w:rPr>
          <w:rStyle w:val="rFootnRef"/>
        </w:rPr>
        <w:footnoteRef/>
      </w:r>
      <w:r>
        <w:t xml:space="preserve"> Hendriksen, </w:t>
      </w:r>
      <w:r>
        <w:rPr>
          <w:i/>
        </w:rPr>
        <w:t xml:space="preserve">New Testament Commentary: Colossians and Philemon</w:t>
      </w:r>
      <w:r>
        <w:t xml:space="preserve">, 78.</w:t>
      </w:r>
    </w:p>
  </w:footnote>
  <w:footnote w:id="12688">
    <w:p>
      <w:pPr>
        <w:pStyle w:val="rFootn"/>
      </w:pPr>
      <w:r>
        <w:rPr>
          <w:rStyle w:val="rFootnRef"/>
        </w:rPr>
        <w:footnoteRef/>
      </w:r>
      <w:r>
        <w:t xml:space="preserve"> See Graeser, Lynn, and Schoenheit, </w:t>
      </w:r>
      <w:r>
        <w:rPr>
          <w:i/>
        </w:rPr>
        <w:t xml:space="preserve">Is There Death After Life?</w:t>
      </w:r>
    </w:p>
  </w:footnote>
  <w:footnote w:id="12739">
    <w:p>
      <w:pPr>
        <w:pStyle w:val="rFootn"/>
      </w:pPr>
      <w:r>
        <w:rPr>
          <w:rStyle w:val="rFootnRef"/>
        </w:rPr>
        <w:footnoteRef/>
      </w:r>
      <w:r>
        <w:t xml:space="preserve"> Cf. H. Meyer, </w:t>
      </w:r>
      <w:r>
        <w:rPr>
          <w:i/>
        </w:rPr>
        <w:t xml:space="preserve">Philippians, Colossians, Philemon, 1 and 2 Thessalonians</w:t>
      </w:r>
      <w:r>
        <w:t xml:space="preserve">, 273.</w:t>
      </w:r>
    </w:p>
  </w:footnote>
  <w:footnote w:id="13753">
    <w:p>
      <w:pPr>
        <w:pStyle w:val="rFootn"/>
      </w:pPr>
      <w:r>
        <w:rPr>
          <w:rStyle w:val="rFootnRef"/>
        </w:rPr>
        <w:footnoteRef/>
      </w:r>
      <w:r>
        <w:t xml:space="preserve"> Cf. O’Brien, </w:t>
      </w:r>
      <w:r>
        <w:rPr>
          <w:i/>
        </w:rPr>
        <w:t xml:space="preserve">Colossians</w:t>
      </w:r>
      <w:r>
        <w:t xml:space="preserve"> [WBC], 51.</w:t>
      </w:r>
    </w:p>
  </w:footnote>
  <w:footnote w:id="21423">
    <w:p>
      <w:pPr>
        <w:pStyle w:val="rFootn"/>
      </w:pPr>
      <w:r>
        <w:rPr>
          <w:rStyle w:val="rFootnRef"/>
        </w:rPr>
        <w:footnoteRef/>
      </w:r>
      <w:r>
        <w:t xml:space="preserve"> E. K. Simpson and F. F. Bruce, </w:t>
      </w:r>
      <w:r>
        <w:rPr>
          <w:i/>
        </w:rPr>
        <w:t xml:space="preserve">Ephesians and Colossian</w:t>
      </w:r>
      <w:r>
        <w:t xml:space="preserve">s [NICNT], 206-07.</w:t>
      </w:r>
    </w:p>
  </w:footnote>
  <w:footnote w:id="18907">
    <w:p>
      <w:pPr>
        <w:pStyle w:val="rFootn"/>
      </w:pPr>
      <w:r>
        <w:rPr>
          <w:rStyle w:val="rFootnRef"/>
        </w:rPr>
        <w:footnoteRef/>
      </w:r>
      <w:r>
        <w:t xml:space="preserve"> Thayer, </w:t>
      </w:r>
      <w:r>
        <w:rPr>
          <w:i/>
        </w:rPr>
        <w:t xml:space="preserve">Greek-English Lexicon</w:t>
      </w:r>
      <w:r>
        <w:t xml:space="preserve">, s.v. “ἀνταναπληρόω.”</w:t>
      </w:r>
    </w:p>
  </w:footnote>
  <w:footnote w:id="31146">
    <w:p>
      <w:pPr>
        <w:pStyle w:val="rFootn"/>
      </w:pPr>
      <w:r>
        <w:rPr>
          <w:rStyle w:val="rFootnRef"/>
        </w:rPr>
        <w:footnoteRef/>
      </w:r>
      <w:r>
        <w:t xml:space="preserve"> BDAG </w:t>
      </w:r>
      <w:r>
        <w:rPr>
          <w:i/>
        </w:rPr>
        <w:t xml:space="preserve">Greek-English Lexicon</w:t>
      </w:r>
      <w:r>
        <w:t xml:space="preserve">, s.v. “ἀνταναπληρόω.”</w:t>
      </w:r>
    </w:p>
  </w:footnote>
  <w:footnote w:id="27716">
    <w:p>
      <w:pPr>
        <w:pStyle w:val="rFootn"/>
      </w:pPr>
      <w:r>
        <w:rPr>
          <w:rStyle w:val="rFootnRef"/>
        </w:rPr>
        <w:footnoteRef/>
      </w:r>
      <w:r>
        <w:t xml:space="preserve"> Lenski, </w:t>
      </w:r>
      <w:r>
        <w:rPr>
          <w:i/>
        </w:rPr>
        <w:t xml:space="preserve">St. Paul’s Epistles to the Colossians</w:t>
      </w:r>
      <w:r>
        <w:t xml:space="preserve">, 72-74.</w:t>
      </w:r>
    </w:p>
  </w:footnote>
  <w:footnote w:id="32046">
    <w:p>
      <w:pPr>
        <w:pStyle w:val="rFootn"/>
      </w:pPr>
      <w:r>
        <w:rPr>
          <w:rStyle w:val="rFootnRef"/>
        </w:rPr>
        <w:footnoteRef/>
      </w:r>
      <w:r>
        <w:t xml:space="preserve"> J. B. Lightfoot, </w:t>
      </w:r>
      <w:r>
        <w:rPr>
          <w:i/>
        </w:rPr>
        <w:t xml:space="preserve">St. Paul’s Epistles to the Colossians and Thessalonians</w:t>
      </w:r>
      <w:r>
        <w:t xml:space="preserve">, 164-67.</w:t>
      </w:r>
    </w:p>
  </w:footnote>
  <w:footnote w:id="14960">
    <w:p>
      <w:pPr>
        <w:pStyle w:val="rFootn"/>
      </w:pPr>
      <w:r>
        <w:rPr>
          <w:rStyle w:val="rFootnRef"/>
        </w:rPr>
        <w:footnoteRef/>
      </w:r>
      <w:r>
        <w:t xml:space="preserve"> Bruce Metzger, </w:t>
      </w:r>
      <w:r>
        <w:rPr>
          <w:i/>
        </w:rPr>
        <w:t xml:space="preserve">The Text of the New Testament</w:t>
      </w:r>
      <w:r>
        <w:t xml:space="preserve">, 236.</w:t>
      </w:r>
    </w:p>
  </w:footnote>
  <w:footnote w:id="26487">
    <w:p>
      <w:pPr>
        <w:pStyle w:val="rFootn"/>
      </w:pPr>
      <w:r>
        <w:rPr>
          <w:rStyle w:val="rFootnRef"/>
        </w:rPr>
        <w:footnoteRef/>
      </w:r>
      <w:r>
        <w:t xml:space="preserve"> Douglas J. Moo, </w:t>
      </w:r>
      <w:r>
        <w:rPr>
          <w:i/>
        </w:rPr>
        <w:t xml:space="preserve">The Letters to the Colossians and to Philemon</w:t>
      </w:r>
      <w:r>
        <w:t xml:space="preserve"> [PNTC], 169.</w:t>
      </w:r>
    </w:p>
  </w:footnote>
  <w:footnote w:id="14823">
    <w:p>
      <w:pPr>
        <w:pStyle w:val="rFootn"/>
      </w:pPr>
      <w:r>
        <w:rPr>
          <w:rStyle w:val="rFootnRef"/>
        </w:rPr>
        <w:footnoteRef/>
      </w:r>
      <w:r>
        <w:t xml:space="preserve"> Margaret Y. Macdonald, </w:t>
      </w:r>
      <w:r>
        <w:rPr>
          <w:i/>
        </w:rPr>
        <w:t xml:space="preserve">Colossians and Ephesians</w:t>
      </w:r>
      <w:r>
        <w:t xml:space="preserve"> [SP], 86.</w:t>
      </w:r>
    </w:p>
  </w:footnote>
  <w:footnote w:id="18292">
    <w:p>
      <w:pPr>
        <w:pStyle w:val="rFootn"/>
      </w:pPr>
      <w:r>
        <w:rPr>
          <w:rStyle w:val="rFootnRef"/>
        </w:rPr>
        <w:footnoteRef/>
      </w:r>
      <w:r>
        <w:t xml:space="preserve"> Jerry L. Sumney, </w:t>
      </w:r>
      <w:r>
        <w:rPr>
          <w:i/>
        </w:rPr>
        <w:t xml:space="preserve">Colossians: A Commentary</w:t>
      </w:r>
      <w:r>
        <w:t xml:space="preserve"> [NTL], 116.</w:t>
      </w:r>
    </w:p>
  </w:footnote>
  <w:footnote w:id="24473">
    <w:p>
      <w:pPr>
        <w:pStyle w:val="rFootn"/>
      </w:pPr>
      <w:r>
        <w:rPr>
          <w:rStyle w:val="rFootnRef"/>
        </w:rPr>
        <w:footnoteRef/>
      </w:r>
      <w:r>
        <w:t xml:space="preserve"> See Bullinger, </w:t>
      </w:r>
      <w:r>
        <w:rPr>
          <w:i/>
        </w:rPr>
        <w:t xml:space="preserve">Figures of Speech Used in the Bible</w:t>
      </w:r>
      <w:r>
        <w:t xml:space="preserve">, 657, “hendiadys.”</w:t>
      </w:r>
    </w:p>
  </w:footnote>
  <w:footnote w:id="22619">
    <w:p>
      <w:pPr>
        <w:pStyle w:val="rFootn"/>
      </w:pPr>
      <w:r>
        <w:rPr>
          <w:rStyle w:val="rFootnRef"/>
        </w:rPr>
        <w:footnoteRef/>
      </w:r>
      <w:r>
        <w:t xml:space="preserve"> BDAG, s.v. “στοιχεῖον.”</w:t>
      </w:r>
    </w:p>
  </w:footnote>
  <w:footnote w:id="10963">
    <w:p>
      <w:pPr>
        <w:pStyle w:val="rFootn"/>
      </w:pPr>
      <w:r>
        <w:rPr>
          <w:rStyle w:val="rFootnRef"/>
        </w:rPr>
        <w:footnoteRef/>
      </w:r>
      <w:r>
        <w:t xml:space="preserve"> Bullinger, </w:t>
      </w:r>
      <w:r>
        <w:rPr>
          <w:i/>
        </w:rPr>
        <w:t xml:space="preserve">Figures of Speech</w:t>
      </w:r>
      <w:r>
        <w:t xml:space="preserve">, 804, “amphibologia.”</w:t>
      </w:r>
    </w:p>
  </w:footnote>
  <w:footnote w:id="15334">
    <w:p>
      <w:pPr>
        <w:pStyle w:val="rFootn"/>
      </w:pPr>
      <w:r>
        <w:rPr>
          <w:rStyle w:val="rFootnRef"/>
        </w:rPr>
        <w:footnoteRef/>
      </w:r>
      <w:r>
        <w:t xml:space="preserve"> R. C. H. Lenski, </w:t>
      </w:r>
      <w:r>
        <w:rPr>
          <w:i/>
        </w:rPr>
        <w:t xml:space="preserve">St. Paul’s Epistles to the Colossians, Thessalonians, Timothy, Titus, and Philemon</w:t>
      </w:r>
      <w:r>
        <w:t xml:space="preserve">, 100.</w:t>
      </w:r>
    </w:p>
  </w:footnote>
  <w:footnote w:id="11951">
    <w:p>
      <w:pPr>
        <w:pStyle w:val="rFootn"/>
      </w:pPr>
      <w:r>
        <w:rPr>
          <w:rStyle w:val="rFootnRef"/>
        </w:rPr>
        <w:footnoteRef/>
      </w:r>
      <w:r>
        <w:t xml:space="preserve"> Reinier Schippers in </w:t>
      </w:r>
      <w:r>
        <w:rPr>
          <w:i/>
        </w:rPr>
        <w:t xml:space="preserve">The New International Dictionary of New Testament Theology</w:t>
      </w:r>
      <w:r>
        <w:t xml:space="preserve">, Colin Brown, ed., s.v. “Fullness,” 1:740.</w:t>
      </w:r>
    </w:p>
  </w:footnote>
  <w:footnote w:id="17173">
    <w:p>
      <w:pPr>
        <w:pStyle w:val="rFootn"/>
      </w:pPr>
      <w:r>
        <w:rPr>
          <w:rStyle w:val="rFootnRef"/>
        </w:rPr>
        <w:footnoteRef/>
      </w:r>
      <w:r>
        <w:t xml:space="preserve"> Bromiley, </w:t>
      </w:r>
      <w:r>
        <w:rPr>
          <w:i/>
        </w:rPr>
        <w:t xml:space="preserve">Theological Dictionary of the New Testament</w:t>
      </w:r>
      <w:r>
        <w:t xml:space="preserve">, s.v. “πλήρωμα.”</w:t>
      </w:r>
    </w:p>
  </w:footnote>
  <w:footnote w:id="14420">
    <w:p>
      <w:pPr>
        <w:pStyle w:val="rFootn"/>
      </w:pPr>
      <w:r>
        <w:rPr>
          <w:rStyle w:val="rFootnRef"/>
        </w:rPr>
        <w:footnoteRef/>
      </w:r>
      <w:r>
        <w:t xml:space="preserve"> Friberg, </w:t>
      </w:r>
      <w:r>
        <w:rPr>
          <w:i/>
        </w:rPr>
        <w:t xml:space="preserve">Analytical Lexicon</w:t>
      </w:r>
      <w:r>
        <w:t xml:space="preserve">, s.v. “θεότης”; Colin Brown, </w:t>
      </w:r>
      <w:r>
        <w:rPr>
          <w:i/>
        </w:rPr>
        <w:t xml:space="preserve">The New International Dictionary of Theology</w:t>
      </w:r>
      <w:r>
        <w:t xml:space="preserve">, 2:86.</w:t>
      </w:r>
    </w:p>
  </w:footnote>
  <w:footnote w:id="19238">
    <w:p>
      <w:pPr>
        <w:pStyle w:val="rFootn"/>
      </w:pPr>
      <w:r>
        <w:rPr>
          <w:rStyle w:val="rFootnRef"/>
        </w:rPr>
        <w:footnoteRef/>
      </w:r>
      <w:r>
        <w:t xml:space="preserve"> Louw and Nida, s.v. “θεότης.”</w:t>
      </w:r>
    </w:p>
  </w:footnote>
  <w:footnote w:id="18989">
    <w:p>
      <w:pPr>
        <w:pStyle w:val="rFootn"/>
      </w:pPr>
      <w:r>
        <w:rPr>
          <w:rStyle w:val="rFootnRef"/>
        </w:rPr>
        <w:footnoteRef/>
      </w:r>
      <w:r>
        <w:t xml:space="preserve"> Cf. Stern, </w:t>
      </w:r>
      <w:r>
        <w:rPr>
          <w:i/>
        </w:rPr>
        <w:t xml:space="preserve">Complete Jewish Bible</w:t>
      </w:r>
      <w:r>
        <w:t xml:space="preserve">, “all that God is.”</w:t>
      </w:r>
    </w:p>
  </w:footnote>
  <w:footnote w:id="23049">
    <w:p>
      <w:pPr>
        <w:pStyle w:val="rFootn"/>
      </w:pPr>
      <w:r>
        <w:rPr>
          <w:rStyle w:val="rFootnRef"/>
        </w:rPr>
        <w:footnoteRef/>
      </w:r>
      <w:r>
        <w:t xml:space="preserve"> Balz and Schneider, </w:t>
      </w:r>
      <w:r>
        <w:rPr>
          <w:i/>
        </w:rPr>
        <w:t xml:space="preserve">Exegetical Dictionary of the New Testament</w:t>
      </w:r>
      <w:r>
        <w:t xml:space="preserve">, 2:143.</w:t>
      </w:r>
    </w:p>
  </w:footnote>
  <w:footnote w:id="18810">
    <w:p>
      <w:pPr>
        <w:pStyle w:val="rFootn"/>
      </w:pPr>
      <w:r>
        <w:rPr>
          <w:rStyle w:val="rFootnRef"/>
        </w:rPr>
        <w:footnoteRef/>
      </w:r>
      <w:r>
        <w:t xml:space="preserve"> For more on </w:t>
      </w:r>
      <w:r>
        <w:rPr>
          <w:i/>
        </w:rPr>
        <w:t xml:space="preserve">theotēs</w:t>
      </w:r>
      <w:r>
        <w:t xml:space="preserve"> (#2320 θεότης), see Graeser, Lynn, Schoenheit, </w:t>
      </w:r>
      <w:r>
        <w:rPr>
          <w:i/>
        </w:rPr>
        <w:t xml:space="preserve">One God &amp;amp; One Lord</w:t>
      </w:r>
      <w:r>
        <w:t xml:space="preserve">.</w:t>
      </w:r>
    </w:p>
  </w:footnote>
  <w:footnote w:id="18082">
    <w:p>
      <w:pPr>
        <w:pStyle w:val="rFootn"/>
      </w:pPr>
      <w:r>
        <w:rPr>
          <w:rStyle w:val="rFootnRef"/>
        </w:rPr>
        <w:footnoteRef/>
      </w:r>
      <w:r>
        <w:t xml:space="preserve"> </w:t>
      </w:r>
      <w:r>
        <w:rPr>
          <w:i/>
        </w:rPr>
        <w:t xml:space="preserve">Meyer’s Commentary: Colossians</w:t>
      </w:r>
      <w:r>
        <w:t xml:space="preserve">, 298.</w:t>
      </w:r>
    </w:p>
  </w:footnote>
  <w:footnote w:id="21807">
    <w:p>
      <w:pPr>
        <w:pStyle w:val="rFootn"/>
      </w:pPr>
      <w:r>
        <w:rPr>
          <w:rStyle w:val="rFootnRef"/>
        </w:rPr>
        <w:footnoteRef/>
      </w:r>
      <w:r>
        <w:t xml:space="preserve"> Cf. James D. G. Dunn [NIGTC], 160-61; Peter T. O’Brien [WBC], 118-19.</w:t>
      </w:r>
    </w:p>
  </w:footnote>
  <w:footnote w:id="16782">
    <w:p>
      <w:pPr>
        <w:pStyle w:val="rFootn"/>
      </w:pPr>
      <w:r>
        <w:rPr>
          <w:rStyle w:val="rFootnRef"/>
        </w:rPr>
        <w:footnoteRef/>
      </w:r>
      <w:r>
        <w:t xml:space="preserve"> Cf. Kenneth S. Wuest, </w:t>
      </w:r>
      <w:r>
        <w:rPr>
          <w:i/>
        </w:rPr>
        <w:t xml:space="preserve">New Testament</w:t>
      </w:r>
      <w:r>
        <w:t xml:space="preserve">, “out from among the dead,” 472.</w:t>
      </w:r>
    </w:p>
  </w:footnote>
  <w:footnote w:id="17879">
    <w:p>
      <w:pPr>
        <w:pStyle w:val="rFootn"/>
      </w:pPr>
      <w:r>
        <w:rPr>
          <w:rStyle w:val="rFootnRef"/>
        </w:rPr>
        <w:footnoteRef/>
      </w:r>
      <w:r>
        <w:t xml:space="preserve"> Lightfoot, </w:t>
      </w:r>
      <w:r>
        <w:rPr>
          <w:i/>
        </w:rPr>
        <w:t xml:space="preserve">St. Paul’s Epistles to the Colossians and to Philemon</w:t>
      </w:r>
      <w:r>
        <w:t xml:space="preserve">, 184.</w:t>
      </w:r>
    </w:p>
  </w:footnote>
  <w:footnote w:id="32086">
    <w:p>
      <w:pPr>
        <w:pStyle w:val="rFootn"/>
      </w:pPr>
      <w:r>
        <w:rPr>
          <w:rStyle w:val="rFootnRef"/>
        </w:rPr>
        <w:footnoteRef/>
      </w:r>
      <w:r>
        <w:t xml:space="preserve"> Lenski, </w:t>
      </w:r>
      <w:r>
        <w:rPr>
          <w:i/>
        </w:rPr>
        <w:t xml:space="preserve">Colossians</w:t>
      </w:r>
      <w:r>
        <w:t xml:space="preserve">, 111.</w:t>
      </w:r>
    </w:p>
  </w:footnote>
  <w:footnote w:id="12907">
    <w:p>
      <w:pPr>
        <w:pStyle w:val="rFootn"/>
      </w:pPr>
      <w:r>
        <w:rPr>
          <w:rStyle w:val="rFootnRef"/>
        </w:rPr>
        <w:footnoteRef/>
      </w:r>
      <w:r>
        <w:t xml:space="preserve"> See Lightfoot, </w:t>
      </w:r>
      <w:r>
        <w:rPr>
          <w:i/>
        </w:rPr>
        <w:t xml:space="preserve">Colossians</w:t>
      </w:r>
      <w:r>
        <w:t xml:space="preserve">, 183-84; Robertson, </w:t>
      </w:r>
      <w:r>
        <w:rPr>
          <w:i/>
        </w:rPr>
        <w:t xml:space="preserve">Word Pictures</w:t>
      </w:r>
      <w:r>
        <w:t xml:space="preserve">, 493.</w:t>
      </w:r>
    </w:p>
  </w:footnote>
  <w:footnote w:id="20747">
    <w:p>
      <w:pPr>
        <w:pStyle w:val="rFootn"/>
      </w:pPr>
      <w:r>
        <w:rPr>
          <w:rStyle w:val="rFootnRef"/>
        </w:rPr>
        <w:footnoteRef/>
      </w:r>
      <w:r>
        <w:t xml:space="preserve"> BDAG, s.v. “ἐξαλείφω.”</w:t>
      </w:r>
    </w:p>
  </w:footnote>
  <w:footnote w:id="12537">
    <w:p>
      <w:pPr>
        <w:pStyle w:val="rFootn"/>
      </w:pPr>
      <w:r>
        <w:rPr>
          <w:rStyle w:val="rFootnRef"/>
        </w:rPr>
        <w:footnoteRef/>
      </w:r>
      <w:r>
        <w:t xml:space="preserve"> Moulton and Milligan, </w:t>
      </w:r>
      <w:r>
        <w:rPr>
          <w:i/>
        </w:rPr>
        <w:t xml:space="preserve">Vocabulary of the Greek Testament</w:t>
      </w:r>
      <w:r>
        <w:t xml:space="preserve">, viii.</w:t>
      </w:r>
    </w:p>
  </w:footnote>
  <w:footnote w:id="22201">
    <w:p>
      <w:pPr>
        <w:pStyle w:val="rFootn"/>
      </w:pPr>
      <w:r>
        <w:rPr>
          <w:rStyle w:val="rFootnRef"/>
        </w:rPr>
        <w:footnoteRef/>
      </w:r>
      <w:r>
        <w:t xml:space="preserve"> BDAG, s.v. “χειρόγραφον.”</w:t>
      </w:r>
    </w:p>
  </w:footnote>
  <w:footnote w:id="23356">
    <w:p>
      <w:pPr>
        <w:pStyle w:val="rFootn"/>
      </w:pPr>
      <w:r>
        <w:rPr>
          <w:rStyle w:val="rFootnRef"/>
        </w:rPr>
        <w:footnoteRef/>
      </w:r>
      <w:r>
        <w:t xml:space="preserve"> BDAG, s.v. “δόγμα.”</w:t>
      </w:r>
    </w:p>
  </w:footnote>
  <w:footnote w:id="30615">
    <w:p>
      <w:pPr>
        <w:pStyle w:val="rFootn"/>
      </w:pPr>
      <w:r>
        <w:rPr>
          <w:rStyle w:val="rFootnRef"/>
        </w:rPr>
        <w:footnoteRef/>
      </w:r>
      <w:r>
        <w:t xml:space="preserve"> See, J. B. Lightfoot, </w:t>
      </w:r>
      <w:r>
        <w:rPr>
          <w:i/>
        </w:rPr>
        <w:t xml:space="preserve">Saint Paul’s Epistles to the Colossians and to Philemon</w:t>
      </w:r>
      <w:r>
        <w:t xml:space="preserve">, 8th ed., Classic Commentaries on the Greek New Testament, 186.</w:t>
      </w:r>
    </w:p>
  </w:footnote>
  <w:footnote w:id="30450">
    <w:p>
      <w:pPr>
        <w:pStyle w:val="rFootn"/>
      </w:pPr>
      <w:r>
        <w:rPr>
          <w:rStyle w:val="rFootnRef"/>
        </w:rPr>
        <w:footnoteRef/>
      </w:r>
      <w:r>
        <w:t xml:space="preserve"> Doug Moo, </w:t>
      </w:r>
      <w:r>
        <w:rPr>
          <w:i/>
        </w:rPr>
        <w:t xml:space="preserve">The Letters to the Colossians and to Philemon</w:t>
      </w:r>
      <w:r>
        <w:t xml:space="preserve">, [PNTC], 210.</w:t>
      </w:r>
    </w:p>
  </w:footnote>
  <w:footnote w:id="14391">
    <w:p>
      <w:pPr>
        <w:pStyle w:val="rFootn"/>
      </w:pPr>
      <w:r>
        <w:rPr>
          <w:rStyle w:val="rFootnRef"/>
        </w:rPr>
        <w:footnoteRef/>
      </w:r>
      <w:r>
        <w:t xml:space="preserve"> J. P. Migne, “Patrologia Graeca: Greek Text,” Patrologiæ Cursus Completus, 1253.</w:t>
      </w:r>
    </w:p>
  </w:footnote>
  <w:footnote w:id="16874">
    <w:p>
      <w:pPr>
        <w:pStyle w:val="rFootn"/>
      </w:pPr>
      <w:r>
        <w:rPr>
          <w:rStyle w:val="rFootnRef"/>
        </w:rPr>
        <w:footnoteRef/>
      </w:r>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p>
  </w:footnote>
  <w:footnote w:id="24010">
    <w:p>
      <w:pPr>
        <w:pStyle w:val="rFootn"/>
      </w:pPr>
      <w:r>
        <w:rPr>
          <w:rStyle w:val="rFootnRef"/>
        </w:rPr>
        <w:footnoteRef/>
      </w:r>
      <w:r>
        <w:t xml:space="preserve"> Cf. </w:t>
      </w:r>
      <w:r>
        <w:rPr>
          <w:i/>
        </w:rPr>
        <w:t xml:space="preserve">Meyer’s Commentary on the New Testament</w:t>
      </w:r>
      <w:r>
        <w:t xml:space="preserve">, 308; J. B. Lightfoot, </w:t>
      </w:r>
      <w:r>
        <w:rPr>
          <w:i/>
        </w:rPr>
        <w:t xml:space="preserve">Colossians</w:t>
      </w:r>
      <w:r>
        <w:t xml:space="preserve">, 189; cf. Lenski,</w:t>
      </w:r>
      <w:r>
        <w:rPr>
          <w:i/>
        </w:rPr>
        <w:t xml:space="preserve">Colossians</w:t>
      </w:r>
      <w:r>
        <w:t xml:space="preserve">, 113-117.</w:t>
      </w:r>
    </w:p>
  </w:footnote>
  <w:footnote w:id="28726">
    <w:p>
      <w:pPr>
        <w:pStyle w:val="rFootn"/>
      </w:pPr>
      <w:r>
        <w:rPr>
          <w:rStyle w:val="rFootnRef"/>
        </w:rPr>
        <w:footnoteRef/>
      </w:r>
      <w:r>
        <w:t xml:space="preserve"> Friberg, </w:t>
      </w:r>
      <w:r>
        <w:rPr>
          <w:i/>
        </w:rPr>
        <w:t xml:space="preserve">Analytical Lexicon</w:t>
      </w:r>
      <w:r>
        <w:t xml:space="preserve">; BDAG; Liddell and Scott; s.v. “ἀπεκδύομαι.”</w:t>
      </w:r>
    </w:p>
  </w:footnote>
  <w:footnote w:id="14329">
    <w:p>
      <w:pPr>
        <w:pStyle w:val="rFootn"/>
      </w:pPr>
      <w:r>
        <w:rPr>
          <w:rStyle w:val="rFootnRef"/>
        </w:rPr>
        <w:footnoteRef/>
      </w:r>
      <w:r>
        <w:t xml:space="preserve"> Louw and Nida, </w:t>
      </w:r>
      <w:r>
        <w:rPr>
          <w:i/>
        </w:rPr>
        <w:t xml:space="preserve">Greek-English Lexicon</w:t>
      </w:r>
      <w:r>
        <w:t xml:space="preserve">, s.v. “ἀπεκδύομαι.”</w:t>
      </w:r>
    </w:p>
  </w:footnote>
  <w:footnote w:id="21232">
    <w:p>
      <w:pPr>
        <w:pStyle w:val="rFootn"/>
      </w:pPr>
      <w:r>
        <w:rPr>
          <w:rStyle w:val="rFootnRef"/>
        </w:rPr>
        <w:footnoteRef/>
      </w:r>
      <w:r>
        <w:t xml:space="preserve"> Cf. Wuest, </w:t>
      </w:r>
      <w:r>
        <w:rPr>
          <w:i/>
        </w:rPr>
        <w:t xml:space="preserve">Word Studies: Ephesians and Colossians</w:t>
      </w:r>
      <w:r>
        <w:t xml:space="preserve">, 209.</w:t>
      </w:r>
    </w:p>
  </w:footnote>
  <w:footnote w:id="22005">
    <w:p>
      <w:pPr>
        <w:pStyle w:val="rFootn"/>
      </w:pPr>
      <w:r>
        <w:rPr>
          <w:rStyle w:val="rFootnRef"/>
        </w:rPr>
        <w:footnoteRef/>
      </w:r>
      <w:r>
        <w:t xml:space="preserve"> J. B. Lightfoot, </w:t>
      </w:r>
      <w:r>
        <w:rPr>
          <w:i/>
        </w:rPr>
        <w:t xml:space="preserve">Colossians and Philemon</w:t>
      </w:r>
      <w:r>
        <w:t xml:space="preserve">, 190.</w:t>
      </w:r>
    </w:p>
  </w:footnote>
  <w:footnote w:id="32108">
    <w:p>
      <w:pPr>
        <w:pStyle w:val="rFootn"/>
      </w:pPr>
      <w:r>
        <w:rPr>
          <w:rStyle w:val="rFootnRef"/>
        </w:rPr>
        <w:footnoteRef/>
      </w:r>
      <w:r>
        <w:t xml:space="preserve"> James D. G. Dunn, </w:t>
      </w:r>
      <w:r>
        <w:rPr>
          <w:i/>
        </w:rPr>
        <w:t xml:space="preserve">The Epistles to the Colossians and to Philemon: A Commentary on the Greek Text</w:t>
      </w:r>
      <w:r>
        <w:t xml:space="preserve"> [NIGTC], 175.</w:t>
      </w:r>
    </w:p>
  </w:footnote>
  <w:footnote w:id="27874">
    <w:p>
      <w:pPr>
        <w:pStyle w:val="rFootn"/>
      </w:pPr>
      <w:r>
        <w:rPr>
          <w:rStyle w:val="rFootnRef"/>
        </w:rPr>
        <w:footnoteRef/>
      </w:r>
      <w:r>
        <w:t xml:space="preserve"> William Hendriksen, </w:t>
      </w:r>
      <w:r>
        <w:rPr>
          <w:i/>
        </w:rPr>
        <w:t xml:space="preserve">New Testament Commentary: Colossians and Philemon</w:t>
      </w:r>
      <w:r>
        <w:t xml:space="preserve">, 125.</w:t>
      </w:r>
    </w:p>
  </w:footnote>
  <w:footnote w:id="22481">
    <w:p>
      <w:pPr>
        <w:pStyle w:val="rFootn"/>
      </w:pPr>
      <w:r>
        <w:rPr>
          <w:rStyle w:val="rFootnRef"/>
        </w:rPr>
        <w:footnoteRef/>
      </w:r>
      <w:r>
        <w:t xml:space="preserve"> Lenski, </w:t>
      </w:r>
      <w:r>
        <w:rPr>
          <w:i/>
        </w:rPr>
        <w:t xml:space="preserve">St. Paul’s Epistles to the Colossians and Thessalonians</w:t>
      </w:r>
      <w:r>
        <w:t xml:space="preserve">, 128.</w:t>
      </w:r>
    </w:p>
  </w:footnote>
  <w:footnote w:id="13248">
    <w:p>
      <w:pPr>
        <w:pStyle w:val="rFootn"/>
      </w:pPr>
      <w:r>
        <w:rPr>
          <w:rStyle w:val="rFootnRef"/>
        </w:rPr>
        <w:footnoteRef/>
      </w:r>
      <w:r>
        <w:t xml:space="preserve"> J. B. Lightfoot, </w:t>
      </w:r>
      <w:r>
        <w:rPr>
          <w:i/>
        </w:rPr>
        <w:t xml:space="preserve">Saint Paul’s Epistles to the Colossians and to Philemon</w:t>
      </w:r>
      <w:r>
        <w:t xml:space="preserve">, 193.</w:t>
      </w:r>
    </w:p>
  </w:footnote>
  <w:footnote w:id="15457">
    <w:p>
      <w:pPr>
        <w:pStyle w:val="rFootn"/>
      </w:pPr>
      <w:r>
        <w:rPr>
          <w:rStyle w:val="rFootnRef"/>
        </w:rPr>
        <w:footnoteRef/>
      </w:r>
      <w:r>
        <w:t xml:space="preserve"> Lightfoot, </w:t>
      </w:r>
      <w:r>
        <w:rPr>
          <w:i/>
        </w:rPr>
        <w:t xml:space="preserve">Colossians, Philemon</w:t>
      </w:r>
      <w:r>
        <w:t xml:space="preserve">, 193.</w:t>
      </w:r>
    </w:p>
  </w:footnote>
  <w:footnote w:id="11774">
    <w:p>
      <w:pPr>
        <w:pStyle w:val="rFootn"/>
      </w:pPr>
      <w:r>
        <w:rPr>
          <w:rStyle w:val="rFootnRef"/>
        </w:rPr>
        <w:footnoteRef/>
      </w:r>
      <w:r>
        <w:t xml:space="preserve"> Cf. Hendriksen, </w:t>
      </w:r>
      <w:r>
        <w:rPr>
          <w:i/>
        </w:rPr>
        <w:t xml:space="preserve">New Testament Commentary: Colossians and Philemon</w:t>
      </w:r>
      <w:r>
        <w:t xml:space="preserve">, 125.</w:t>
      </w:r>
    </w:p>
  </w:footnote>
  <w:footnote w:id="29687">
    <w:p>
      <w:pPr>
        <w:pStyle w:val="rFootn"/>
      </w:pPr>
      <w:r>
        <w:rPr>
          <w:rStyle w:val="rFootnRef"/>
        </w:rPr>
        <w:footnoteRef/>
      </w:r>
      <w:r>
        <w:t xml:space="preserve"> Cf. Bullinger, </w:t>
      </w:r>
      <w:r>
        <w:rPr>
          <w:i/>
        </w:rPr>
        <w:t xml:space="preserve">Figures of Speech</w:t>
      </w:r>
      <w:r>
        <w:t xml:space="preserve">, 667, “hendiadys.”</w:t>
      </w:r>
    </w:p>
  </w:footnote>
  <w:footnote w:id="12217">
    <w:p>
      <w:pPr>
        <w:pStyle w:val="rFootn"/>
      </w:pPr>
      <w:r>
        <w:rPr>
          <w:rStyle w:val="rFootnRef"/>
        </w:rPr>
        <w:footnoteRef/>
      </w:r>
      <w:r>
        <w:t xml:space="preserve"> Cf. Hendriksen, </w:t>
      </w:r>
      <w:r>
        <w:rPr>
          <w:i/>
        </w:rPr>
        <w:t xml:space="preserve">New Testament Commentary: Colossians and Philemon</w:t>
      </w:r>
      <w:r>
        <w:t xml:space="preserve">, 126.</w:t>
      </w:r>
    </w:p>
  </w:footnote>
  <w:footnote w:id="29291">
    <w:p>
      <w:pPr>
        <w:pStyle w:val="rFootn"/>
      </w:pPr>
      <w:r>
        <w:rPr>
          <w:rStyle w:val="rFootnRef"/>
        </w:rPr>
        <w:footnoteRef/>
      </w:r>
      <w:r>
        <w:t xml:space="preserve"> Irenaeus, </w:t>
      </w:r>
      <w:r>
        <w:rPr>
          <w:i/>
        </w:rPr>
        <w:t xml:space="preserve">Against Heresies</w:t>
      </w:r>
      <w:r>
        <w:t xml:space="preserve">, Book II, chap. 32.5.</w:t>
      </w:r>
    </w:p>
  </w:footnote>
  <w:footnote w:id="29140">
    <w:p>
      <w:pPr>
        <w:pStyle w:val="rFootn"/>
      </w:pPr>
      <w:r>
        <w:rPr>
          <w:rStyle w:val="rFootnRef"/>
        </w:rPr>
        <w:footnoteRef/>
      </w:r>
      <w:r>
        <w:t xml:space="preserve"> N.T. Wright, </w:t>
      </w:r>
      <w:r>
        <w:rPr>
          <w:i/>
        </w:rPr>
        <w:t xml:space="preserve">Colossians and Philemon: An Introduction and Commentary</w:t>
      </w:r>
      <w:r>
        <w:t xml:space="preserve"> [TNTC], 126–127.</w:t>
      </w:r>
    </w:p>
  </w:footnote>
  <w:footnote w:id="27348">
    <w:p>
      <w:pPr>
        <w:pStyle w:val="rFootn"/>
      </w:pPr>
      <w:r>
        <w:rPr>
          <w:rStyle w:val="rFootnRef"/>
        </w:rPr>
        <w:footnoteRef/>
      </w:r>
      <w:r>
        <w:t xml:space="preserve"> Hendriksen, </w:t>
      </w:r>
      <w:r>
        <w:rPr>
          <w:i/>
        </w:rPr>
        <w:t xml:space="preserve">New Testament Commentary: Colossians and Philemon</w:t>
      </w:r>
      <w:r>
        <w:t xml:space="preserve">, 127.</w:t>
      </w:r>
    </w:p>
  </w:footnote>
  <w:footnote w:id="19208">
    <w:p>
      <w:pPr>
        <w:pStyle w:val="rFootn"/>
      </w:pPr>
      <w:r>
        <w:rPr>
          <w:rStyle w:val="rFootnRef"/>
        </w:rPr>
        <w:footnoteRef/>
      </w:r>
      <w:r>
        <w:t xml:space="preserve"> Markus Barth, and Helmut Blanke, </w:t>
      </w:r>
      <w:r>
        <w:rPr>
          <w:i/>
        </w:rPr>
        <w:t xml:space="preserve">Colossians: A New Translation with Introduction and Commentary</w:t>
      </w:r>
      <w:r>
        <w:t xml:space="preserve">, Astridk B. Beck, trans. [AB], 346.</w:t>
      </w:r>
    </w:p>
  </w:footnote>
  <w:footnote w:id="21448">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321.</w:t>
      </w:r>
    </w:p>
  </w:footnote>
  <w:footnote w:id="21858">
    <w:p>
      <w:pPr>
        <w:pStyle w:val="rFootn"/>
      </w:pPr>
      <w:r>
        <w:rPr>
          <w:rStyle w:val="rFootnRef"/>
        </w:rPr>
        <w:footnoteRef/>
      </w:r>
      <w:r>
        <w:t xml:space="preserve"> Friberg, </w:t>
      </w:r>
      <w:r>
        <w:rPr>
          <w:i/>
        </w:rPr>
        <w:t xml:space="preserve">Analytical Lexicon</w:t>
      </w:r>
      <w:r>
        <w:t xml:space="preserve">, s.v. “εἰ.”</w:t>
      </w:r>
    </w:p>
  </w:footnote>
  <w:footnote w:id="32081">
    <w:p>
      <w:pPr>
        <w:pStyle w:val="rFootn"/>
      </w:pPr>
      <w:r>
        <w:rPr>
          <w:rStyle w:val="rFootnRef"/>
        </w:rPr>
        <w:footnoteRef/>
      </w:r>
      <w:r>
        <w:t xml:space="preserve"> Cf. Lenski, </w:t>
      </w:r>
      <w:r>
        <w:rPr>
          <w:i/>
        </w:rPr>
        <w:t xml:space="preserve">St. Paul’s Epistles to the Colossians and Thessalonians</w:t>
      </w:r>
      <w:r>
        <w:t xml:space="preserve">, note on Col. 3:1, 147.</w:t>
      </w:r>
    </w:p>
  </w:footnote>
  <w:footnote w:id="21756">
    <w:p>
      <w:pPr>
        <w:pStyle w:val="rFootn"/>
      </w:pPr>
      <w:r>
        <w:rPr>
          <w:rStyle w:val="rFootnRef"/>
        </w:rPr>
        <w:footnoteRef/>
      </w:r>
      <w:r>
        <w:t xml:space="preserve"> Bullinger, </w:t>
      </w:r>
      <w:r>
        <w:rPr>
          <w:i/>
        </w:rPr>
        <w:t xml:space="preserve">Lexicon</w:t>
      </w:r>
      <w:r>
        <w:t xml:space="preserve">, s.v. “if.”</w:t>
      </w:r>
    </w:p>
  </w:footnote>
  <w:footnote w:id="23859">
    <w:p>
      <w:pPr>
        <w:pStyle w:val="rFootn"/>
      </w:pPr>
      <w:r>
        <w:rPr>
          <w:rStyle w:val="rFootnRef"/>
        </w:rPr>
        <w:footnoteRef/>
      </w:r>
      <w:r>
        <w:t xml:space="preserve"> Cf. O’Brien [WBC], 149.</w:t>
      </w:r>
    </w:p>
  </w:footnote>
  <w:footnote w:id="17399">
    <w:p>
      <w:pPr>
        <w:pStyle w:val="rFootn"/>
      </w:pPr>
      <w:r>
        <w:rPr>
          <w:rStyle w:val="rFootnRef"/>
        </w:rPr>
        <w:footnoteRef/>
      </w:r>
      <w:r>
        <w:t xml:space="preserve"> William Hendriksen, </w:t>
      </w:r>
      <w:r>
        <w:rPr>
          <w:i/>
        </w:rPr>
        <w:t xml:space="preserve">New Testament Commentary: Colossians and Philemon</w:t>
      </w:r>
      <w:r>
        <w:t xml:space="preserve">, 132.</w:t>
      </w:r>
    </w:p>
  </w:footnote>
  <w:footnote w:id="14273">
    <w:p>
      <w:pPr>
        <w:pStyle w:val="rFootn"/>
      </w:pPr>
      <w:r>
        <w:rPr>
          <w:rStyle w:val="rFootnRef"/>
        </w:rPr>
        <w:footnoteRef/>
      </w:r>
      <w:r>
        <w:t xml:space="preserve"> Richard R. Melick, </w:t>
      </w:r>
      <w:r>
        <w:rPr>
          <w:i/>
        </w:rPr>
        <w:t xml:space="preserve"> Philippians, Colossians, Philemon</w:t>
      </w:r>
      <w:r>
        <w:t xml:space="preserve"> [NAC], 282.</w:t>
      </w:r>
    </w:p>
  </w:footnote>
  <w:footnote w:id="25003">
    <w:p>
      <w:pPr>
        <w:pStyle w:val="rFootn"/>
      </w:pPr>
      <w:r>
        <w:rPr>
          <w:rStyle w:val="rFootnRef"/>
        </w:rPr>
        <w:footnoteRef/>
      </w:r>
      <w:r>
        <w:t xml:space="preserve"> BDAG, s.v. “ἀκαθαρσία.”</w:t>
      </w:r>
    </w:p>
  </w:footnote>
  <w:footnote w:id="26575">
    <w:p>
      <w:pPr>
        <w:pStyle w:val="rFootn"/>
      </w:pPr>
      <w:r>
        <w:rPr>
          <w:rStyle w:val="rFootnRef"/>
        </w:rPr>
        <w:footnoteRef/>
      </w:r>
      <w:r>
        <w:t xml:space="preserve"> Thayer, s.v. “ἀκαθαρσία.”</w:t>
      </w:r>
    </w:p>
  </w:footnote>
  <w:footnote w:id="19800">
    <w:p>
      <w:pPr>
        <w:pStyle w:val="rFootn"/>
      </w:pPr>
      <w:r>
        <w:rPr>
          <w:rStyle w:val="rFootnRef"/>
        </w:rPr>
        <w:footnoteRef/>
      </w:r>
      <w:r>
        <w:t xml:space="preserve"> Lenski, </w:t>
      </w:r>
      <w:r>
        <w:rPr>
          <w:i/>
        </w:rPr>
        <w:t xml:space="preserve">Colossians, Thessalonians, Timothy, Titus, and Philemon</w:t>
      </w:r>
      <w:r>
        <w:t xml:space="preserve">, 158.</w:t>
      </w:r>
    </w:p>
  </w:footnote>
  <w:footnote w:id="16732">
    <w:p>
      <w:pPr>
        <w:pStyle w:val="rFootn"/>
      </w:pPr>
      <w:r>
        <w:rPr>
          <w:rStyle w:val="rFootnRef"/>
        </w:rPr>
        <w:footnoteRef/>
      </w:r>
      <w:r>
        <w:t xml:space="preserve"> Lightfoot, </w:t>
      </w:r>
      <w:r>
        <w:rPr>
          <w:i/>
        </w:rPr>
        <w:t xml:space="preserve">Colossians and Philemon</w:t>
      </w:r>
      <w:r>
        <w:t xml:space="preserve">, 210.</w:t>
      </w:r>
    </w:p>
  </w:footnote>
  <w:footnote w:id="16509">
    <w:p>
      <w:pPr>
        <w:pStyle w:val="rFootn"/>
      </w:pPr>
      <w:r>
        <w:rPr>
          <w:rStyle w:val="rFootnRef"/>
        </w:rPr>
        <w:footnoteRef/>
      </w:r>
      <w:r>
        <w:t xml:space="preserve"> Louw and Nida, s.v. “αἰσχρολογία.”</w:t>
      </w:r>
    </w:p>
  </w:footnote>
  <w:footnote w:id="27589">
    <w:p>
      <w:pPr>
        <w:pStyle w:val="rFootn"/>
      </w:pPr>
      <w:r>
        <w:rPr>
          <w:rStyle w:val="rFootnRef"/>
        </w:rPr>
        <w:footnoteRef/>
      </w:r>
      <w:r>
        <w:t xml:space="preserve"> BDAG, s.v. “αἰσχρολογία.”</w:t>
      </w:r>
    </w:p>
  </w:footnote>
  <w:footnote w:id="26543">
    <w:p>
      <w:pPr>
        <w:pStyle w:val="rFootn"/>
      </w:pPr>
      <w:r>
        <w:rPr>
          <w:rStyle w:val="rFootnRef"/>
        </w:rPr>
        <w:footnoteRef/>
      </w:r>
      <w:r>
        <w:t xml:space="preserve"> Lightfoot, </w:t>
      </w:r>
      <w:r>
        <w:rPr>
          <w:i/>
        </w:rPr>
        <w:t xml:space="preserve">Colossians</w:t>
      </w:r>
      <w:r>
        <w:t xml:space="preserve">, 218.</w:t>
      </w:r>
    </w:p>
  </w:footnote>
  <w:footnote w:id="32715">
    <w:p>
      <w:pPr>
        <w:pStyle w:val="rFootn"/>
      </w:pPr>
      <w:r>
        <w:rPr>
          <w:rStyle w:val="rFootnRef"/>
        </w:rPr>
        <w:footnoteRef/>
      </w:r>
      <w:r>
        <w:t xml:space="preserve"> Robert G. Bratcher and Eugene Albert Nida, </w:t>
      </w:r>
      <w:r>
        <w:rPr>
          <w:i/>
        </w:rPr>
        <w:t xml:space="preserve">A Handbook on Paul’s Letters to the Colossians and to Philemon</w:t>
      </w:r>
      <w:r>
        <w:t xml:space="preserve">, UBS Handbook Series, 85.</w:t>
      </w:r>
    </w:p>
  </w:footnote>
  <w:footnote w:id="17415">
    <w:p>
      <w:pPr>
        <w:pStyle w:val="rFootn"/>
      </w:pPr>
      <w:r>
        <w:rPr>
          <w:rStyle w:val="rFootnRef"/>
        </w:rPr>
        <w:footnoteRef/>
      </w:r>
      <w:r>
        <w:t xml:space="preserve"> Richard R. Melick, </w:t>
      </w:r>
      <w:r>
        <w:rPr>
          <w:i/>
        </w:rPr>
        <w:t xml:space="preserve">Philippians, Colossians, Philemon</w:t>
      </w:r>
      <w:r>
        <w:t xml:space="preserve"> [NAC], 299.</w:t>
      </w:r>
    </w:p>
  </w:footnote>
  <w:footnote w:id="27905">
    <w:p>
      <w:pPr>
        <w:pStyle w:val="rFootn"/>
      </w:pPr>
      <w:r>
        <w:rPr>
          <w:rStyle w:val="rFootnRef"/>
        </w:rPr>
        <w:footnoteRef/>
      </w:r>
      <w:r>
        <w:t xml:space="preserve"> Markus Barth, </w:t>
      </w:r>
      <w:r>
        <w:rPr>
          <w:i/>
        </w:rPr>
        <w:t xml:space="preserve">Colossians</w:t>
      </w:r>
      <w:r>
        <w:t xml:space="preserve"> [AB], 422.</w:t>
      </w:r>
    </w:p>
  </w:footnote>
  <w:footnote w:id="32687">
    <w:p>
      <w:pPr>
        <w:pStyle w:val="rFootn"/>
      </w:pPr>
      <w:r>
        <w:rPr>
          <w:rStyle w:val="rFootnRef"/>
        </w:rPr>
        <w:footnoteRef/>
      </w:r>
      <w:r>
        <w:t xml:space="preserve"> Cf. Bullinger, </w:t>
      </w:r>
      <w:r>
        <w:rPr>
          <w:i/>
        </w:rPr>
        <w:t xml:space="preserve">Figures of Speech</w:t>
      </w:r>
      <w:r>
        <w:t xml:space="preserve">, 804, “amphibologia.”</w:t>
      </w:r>
    </w:p>
  </w:footnote>
  <w:footnote w:id="11698">
    <w:p>
      <w:pPr>
        <w:pStyle w:val="rFootn"/>
      </w:pPr>
      <w:r>
        <w:rPr>
          <w:rStyle w:val="rFootnRef"/>
        </w:rPr>
        <w:footnoteRef/>
      </w:r>
      <w:r>
        <w:t xml:space="preserve"> Hendriksen, </w:t>
      </w:r>
      <w:r>
        <w:rPr>
          <w:i/>
        </w:rPr>
        <w:t xml:space="preserve">New Testament Commentary: Colossians and Philemon</w:t>
      </w:r>
      <w:r>
        <w:t xml:space="preserve">, 159.</w:t>
      </w:r>
    </w:p>
  </w:footnote>
  <w:footnote w:id="11364">
    <w:p>
      <w:pPr>
        <w:pStyle w:val="rFootn"/>
      </w:pPr>
      <w:r>
        <w:rPr>
          <w:rStyle w:val="rFootnRef"/>
        </w:rPr>
        <w:footnoteRef/>
      </w:r>
      <w:r>
        <w:t xml:space="preserve"> Robertson, </w:t>
      </w:r>
      <w:r>
        <w:rPr>
          <w:i/>
        </w:rPr>
        <w:t xml:space="preserve">Word Pictures</w:t>
      </w:r>
      <w:r>
        <w:t xml:space="preserve">, 4:505.</w:t>
      </w:r>
    </w:p>
  </w:footnote>
  <w:footnote w:id="20697">
    <w:p>
      <w:pPr>
        <w:pStyle w:val="rFootn"/>
      </w:pPr>
      <w:r>
        <w:rPr>
          <w:rStyle w:val="rFootnRef"/>
        </w:rPr>
        <w:footnoteRef/>
      </w:r>
      <w:r>
        <w:t xml:space="preserve"> Moule, [CGTC].</w:t>
      </w:r>
    </w:p>
  </w:footnote>
  <w:footnote w:id="14438">
    <w:p>
      <w:pPr>
        <w:pStyle w:val="rFootn"/>
      </w:pPr>
      <w:r>
        <w:rPr>
          <w:rStyle w:val="rFootnRef"/>
        </w:rPr>
        <w:footnoteRef/>
      </w:r>
      <w:r>
        <w:t xml:space="preserve"> Lightfoot, </w:t>
      </w:r>
      <w:r>
        <w:rPr>
          <w:i/>
        </w:rPr>
        <w:t xml:space="preserve">St. Paul’s Epistles to the Colossians and Philemon</w:t>
      </w:r>
      <w:r>
        <w:t xml:space="preserve">, 221.</w:t>
      </w:r>
    </w:p>
  </w:footnote>
  <w:footnote w:id="27379">
    <w:p>
      <w:pPr>
        <w:pStyle w:val="rFootn"/>
      </w:pPr>
      <w:r>
        <w:rPr>
          <w:rStyle w:val="rFootnRef"/>
        </w:rPr>
        <w:footnoteRef/>
      </w:r>
      <w:r>
        <w:t xml:space="preserve"> Bratcher and Nida, </w:t>
      </w:r>
      <w:r>
        <w:rPr>
          <w:i/>
        </w:rPr>
        <w:t xml:space="preserve">Translator’s Handbook on Paul’s Letters to the Colossians and to Philemon</w:t>
      </w:r>
      <w:r>
        <w:t xml:space="preserve">, 88.</w:t>
      </w:r>
    </w:p>
  </w:footnote>
  <w:footnote w:id="16563">
    <w:p>
      <w:pPr>
        <w:pStyle w:val="rFootn"/>
      </w:pPr>
      <w:r>
        <w:rPr>
          <w:rStyle w:val="rFootnRef"/>
        </w:rPr>
        <w:footnoteRef/>
      </w:r>
      <w:r>
        <w:t xml:space="preserve"> Wuest, </w:t>
      </w:r>
      <w:r>
        <w:rPr>
          <w:i/>
        </w:rPr>
        <w:t xml:space="preserve">Wuest’s Word Studies: Ephesians and Colossians</w:t>
      </w:r>
      <w:r>
        <w:t xml:space="preserve">, 226.</w:t>
      </w:r>
    </w:p>
  </w:footnote>
  <w:footnote w:id="18520">
    <w:p>
      <w:pPr>
        <w:pStyle w:val="rFootn"/>
      </w:pPr>
      <w:r>
        <w:rPr>
          <w:rStyle w:val="rFootnRef"/>
        </w:rPr>
        <w:footnoteRef/>
      </w:r>
      <w:r>
        <w:t xml:space="preserve"> W. R. Nicoll, </w:t>
      </w:r>
      <w:r>
        <w:rPr>
          <w:i/>
        </w:rPr>
        <w:t xml:space="preserve">Expositor’s Greek Testament</w:t>
      </w:r>
      <w:r>
        <w:t xml:space="preserve">, 3:541.</w:t>
      </w:r>
    </w:p>
  </w:footnote>
  <w:footnote w:id="16595">
    <w:p>
      <w:pPr>
        <w:pStyle w:val="rFootn"/>
      </w:pPr>
      <w:r>
        <w:rPr>
          <w:rStyle w:val="rFootnRef"/>
        </w:rPr>
        <w:footnoteRef/>
      </w:r>
      <w:r>
        <w:t xml:space="preserve"> Dunn, Colossians [NIGTC],210.</w:t>
      </w:r>
    </w:p>
  </w:footnote>
  <w:footnote w:id="14338">
    <w:p>
      <w:pPr>
        <w:pStyle w:val="rFootn"/>
      </w:pPr>
      <w:r>
        <w:rPr>
          <w:rStyle w:val="rFootnRef"/>
        </w:rPr>
        <w:footnoteRef/>
      </w:r>
      <w:r>
        <w:t xml:space="preserve"> Lenski, </w:t>
      </w:r>
      <w:r>
        <w:rPr>
          <w:i/>
        </w:rPr>
        <w:t xml:space="preserve">St. Paul’s Epistles to the Colossians and Thessalonians</w:t>
      </w:r>
      <w:r>
        <w:t xml:space="preserve">, 175.</w:t>
      </w:r>
    </w:p>
  </w:footnote>
  <w:footnote w:id="29604">
    <w:p>
      <w:pPr>
        <w:pStyle w:val="rFootn"/>
      </w:pPr>
      <w:r>
        <w:rPr>
          <w:rStyle w:val="rFootnRef"/>
        </w:rPr>
        <w:footnoteRef/>
      </w:r>
      <w:r>
        <w:t xml:space="preserve"> See Lenski, </w:t>
      </w:r>
      <w:r>
        <w:rPr>
          <w:i/>
        </w:rPr>
        <w:t xml:space="preserve">Colossians</w:t>
      </w:r>
      <w:r>
        <w:t xml:space="preserve">, 172-79.</w:t>
      </w:r>
    </w:p>
  </w:footnote>
  <w:footnote w:id="22749">
    <w:p>
      <w:pPr>
        <w:pStyle w:val="rFootn"/>
      </w:pPr>
      <w:r>
        <w:rPr>
          <w:rStyle w:val="rFootnRef"/>
        </w:rPr>
        <w:footnoteRef/>
      </w:r>
      <w:r>
        <w:t xml:space="preserve"> BDAG, s.v. “νουθετέω.”</w:t>
      </w:r>
    </w:p>
  </w:footnote>
  <w:footnote w:id="16745">
    <w:p>
      <w:pPr>
        <w:pStyle w:val="rFootn"/>
      </w:pPr>
      <w:r>
        <w:rPr>
          <w:rStyle w:val="rFootnRef"/>
        </w:rPr>
        <w:footnoteRef/>
      </w:r>
      <w:r>
        <w:t xml:space="preserve"> Bratcher and Nida, </w:t>
      </w:r>
      <w:r>
        <w:rPr>
          <w:i/>
        </w:rPr>
        <w:t xml:space="preserve">A Translator’s Handbook on Paul’s Letters to the Colossians and to Philemon</w:t>
      </w:r>
      <w:r>
        <w:t xml:space="preserve">, 91.</w:t>
      </w:r>
    </w:p>
  </w:footnote>
  <w:footnote w:id="11649">
    <w:p>
      <w:pPr>
        <w:pStyle w:val="rFootn"/>
      </w:pPr>
      <w:r>
        <w:rPr>
          <w:rStyle w:val="rFootnRef"/>
        </w:rPr>
        <w:footnoteRef/>
      </w:r>
      <w:r>
        <w:t xml:space="preserve"> Roger Omanson, </w:t>
      </w:r>
      <w:r>
        <w:rPr>
          <w:i/>
        </w:rPr>
        <w:t xml:space="preserve">Textual Guide to the Greek New Testament</w:t>
      </w:r>
      <w:r>
        <w:t xml:space="preserve">.</w:t>
      </w:r>
    </w:p>
  </w:footnote>
  <w:footnote w:id="20699">
    <w:p>
      <w:pPr>
        <w:pStyle w:val="rFootn"/>
      </w:pPr>
      <w:r>
        <w:rPr>
          <w:rStyle w:val="rFootnRef"/>
        </w:rPr>
        <w:footnoteRef/>
      </w:r>
      <w:r>
        <w:t xml:space="preserve"> Cf. Roberson, </w:t>
      </w:r>
      <w:r>
        <w:rPr>
          <w:i/>
        </w:rPr>
        <w:t xml:space="preserve">Grammar of the Greek New Testament</w:t>
      </w:r>
      <w:r>
        <w:t xml:space="preserve">, 807; Lenski, </w:t>
      </w:r>
      <w:r>
        <w:rPr>
          <w:i/>
        </w:rPr>
        <w:t xml:space="preserve">Colossians</w:t>
      </w:r>
      <w:r>
        <w:t xml:space="preserve">, 181.</w:t>
      </w:r>
    </w:p>
  </w:footnote>
  <w:footnote w:id="28134">
    <w:p>
      <w:pPr>
        <w:pStyle w:val="rFootn"/>
      </w:pPr>
      <w:r>
        <w:rPr>
          <w:rStyle w:val="rFootnRef"/>
        </w:rPr>
        <w:footnoteRef/>
      </w:r>
      <w:r>
        <w:t xml:space="preserve"> Cf.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p>
  </w:footnote>
  <w:footnote w:id="27880">
    <w:p>
      <w:pPr>
        <w:pStyle w:val="rFootn"/>
      </w:pPr>
      <w:r>
        <w:rPr>
          <w:rStyle w:val="rFootnRef"/>
        </w:rPr>
        <w:footnoteRef/>
      </w:r>
      <w:r>
        <w:t xml:space="preserve"> Lightfoot, </w:t>
      </w:r>
      <w:r>
        <w:rPr>
          <w:i/>
        </w:rPr>
        <w:t xml:space="preserve">St. Paul’s Epistles to the Colossians and Thessalonians</w:t>
      </w:r>
      <w:r>
        <w:t xml:space="preserve">, 227.</w:t>
      </w:r>
    </w:p>
  </w:footnote>
  <w:footnote w:id="21522">
    <w:p>
      <w:pPr>
        <w:pStyle w:val="rFootn"/>
      </w:pPr>
      <w:r>
        <w:rPr>
          <w:rStyle w:val="rFootnRef"/>
        </w:rPr>
        <w:footnoteRef/>
      </w:r>
      <w:r>
        <w:t xml:space="preserve"> O’Brien [WBC], 229; M. Barth and H. Blanke [AB], 447; also, the NEB, Douay-Rheims, NAB, NET; cf. C. William’s New Testament.</w:t>
      </w:r>
    </w:p>
  </w:footnote>
  <w:footnote w:id="16711">
    <w:p>
      <w:pPr>
        <w:pStyle w:val="rFootn"/>
      </w:pPr>
      <w:r>
        <w:rPr>
          <w:rStyle w:val="rFootnRef"/>
        </w:rPr>
        <w:footnoteRef/>
      </w:r>
      <w:r>
        <w:t xml:space="preserve"> Hendriksen, </w:t>
      </w:r>
      <w:r>
        <w:rPr>
          <w:i/>
        </w:rPr>
        <w:t xml:space="preserve">New Testament Commentary: Colossians and Philemon</w:t>
      </w:r>
      <w:r>
        <w:t xml:space="preserve">, 183-84.</w:t>
      </w:r>
    </w:p>
  </w:footnote>
  <w:footnote w:id="24349">
    <w:p>
      <w:pPr>
        <w:pStyle w:val="rFootn"/>
      </w:pPr>
      <w:r>
        <w:rPr>
          <w:rStyle w:val="rFootnRef"/>
        </w:rPr>
        <w:footnoteRef/>
      </w:r>
      <w:r>
        <w:t xml:space="preserve"> Lenski, </w:t>
      </w:r>
      <w:r>
        <w:rPr>
          <w:i/>
        </w:rPr>
        <w:t xml:space="preserve">Colossians</w:t>
      </w:r>
      <w:r>
        <w:t xml:space="preserve">, 194; Robertson, </w:t>
      </w:r>
      <w:r>
        <w:rPr>
          <w:i/>
        </w:rPr>
        <w:t xml:space="preserve">Grammar</w:t>
      </w:r>
      <w:r>
        <w:t xml:space="preserve">, 1090.</w:t>
      </w:r>
    </w:p>
  </w:footnote>
  <w:footnote w:id="17389">
    <w:p>
      <w:pPr>
        <w:pStyle w:val="rFootn"/>
      </w:pPr>
      <w:r>
        <w:rPr>
          <w:rStyle w:val="rFootnRef"/>
        </w:rPr>
        <w:footnoteRef/>
      </w:r>
      <w:r>
        <w:t xml:space="preserve"> Cf. Peter O’Brien, </w:t>
      </w:r>
      <w:r>
        <w:rPr>
          <w:i/>
        </w:rPr>
        <w:t xml:space="preserve">Colossians</w:t>
      </w:r>
      <w:r>
        <w:t xml:space="preserve"> [WBC], 257.</w:t>
      </w:r>
    </w:p>
  </w:footnote>
  <w:footnote w:id="21475">
    <w:p>
      <w:pPr>
        <w:pStyle w:val="rFootn"/>
      </w:pPr>
      <w:r>
        <w:rPr>
          <w:rStyle w:val="rFootnRef"/>
        </w:rPr>
        <w:footnoteRef/>
      </w:r>
      <w:r>
        <w:t xml:space="preserve"> Cf. O’Brien, </w:t>
      </w:r>
      <w:r>
        <w:rPr>
          <w:i/>
        </w:rPr>
        <w:t xml:space="preserve">Colossians</w:t>
      </w:r>
      <w:r>
        <w:t xml:space="preserve"> [WBC], 257-58; R. C. H. Lenski, </w:t>
      </w:r>
      <w:r>
        <w:rPr>
          <w:i/>
        </w:rPr>
        <w:t xml:space="preserve">St. Paul’s Epistles to the Colossians and Thessalonians</w:t>
      </w:r>
      <w:r>
        <w:t xml:space="preserve">, 8, 206.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245912">
    <w:multiLevelType w:val="hybridMultilevel"/>
    <w:lvl w:ilvl="0" w:tplc="14418206">
      <w:start w:val="1"/>
      <w:numFmt w:val="decimal"/>
      <w:lvlText w:val="%1."/>
      <w:lvlJc w:val="left"/>
      <w:pPr>
        <w:ind w:left="720" w:hanging="360"/>
      </w:pPr>
    </w:lvl>
    <w:lvl w:ilvl="1" w:tplc="14418206" w:tentative="1">
      <w:start w:val="1"/>
      <w:numFmt w:val="lowerLetter"/>
      <w:lvlText w:val="%2."/>
      <w:lvlJc w:val="left"/>
      <w:pPr>
        <w:ind w:left="1440" w:hanging="360"/>
      </w:pPr>
    </w:lvl>
    <w:lvl w:ilvl="2" w:tplc="14418206" w:tentative="1">
      <w:start w:val="1"/>
      <w:numFmt w:val="lowerRoman"/>
      <w:lvlText w:val="%3."/>
      <w:lvlJc w:val="right"/>
      <w:pPr>
        <w:ind w:left="2160" w:hanging="180"/>
      </w:pPr>
    </w:lvl>
    <w:lvl w:ilvl="3" w:tplc="14418206" w:tentative="1">
      <w:start w:val="1"/>
      <w:numFmt w:val="decimal"/>
      <w:lvlText w:val="%4."/>
      <w:lvlJc w:val="left"/>
      <w:pPr>
        <w:ind w:left="2880" w:hanging="360"/>
      </w:pPr>
    </w:lvl>
    <w:lvl w:ilvl="4" w:tplc="14418206" w:tentative="1">
      <w:start w:val="1"/>
      <w:numFmt w:val="lowerLetter"/>
      <w:lvlText w:val="%5."/>
      <w:lvlJc w:val="left"/>
      <w:pPr>
        <w:ind w:left="3600" w:hanging="360"/>
      </w:pPr>
    </w:lvl>
    <w:lvl w:ilvl="5" w:tplc="14418206" w:tentative="1">
      <w:start w:val="1"/>
      <w:numFmt w:val="lowerRoman"/>
      <w:lvlText w:val="%6."/>
      <w:lvlJc w:val="right"/>
      <w:pPr>
        <w:ind w:left="4320" w:hanging="180"/>
      </w:pPr>
    </w:lvl>
    <w:lvl w:ilvl="6" w:tplc="14418206" w:tentative="1">
      <w:start w:val="1"/>
      <w:numFmt w:val="decimal"/>
      <w:lvlText w:val="%7."/>
      <w:lvlJc w:val="left"/>
      <w:pPr>
        <w:ind w:left="5040" w:hanging="360"/>
      </w:pPr>
    </w:lvl>
    <w:lvl w:ilvl="7" w:tplc="14418206" w:tentative="1">
      <w:start w:val="1"/>
      <w:numFmt w:val="lowerLetter"/>
      <w:lvlText w:val="%8."/>
      <w:lvlJc w:val="left"/>
      <w:pPr>
        <w:ind w:left="5760" w:hanging="360"/>
      </w:pPr>
    </w:lvl>
    <w:lvl w:ilvl="8" w:tplc="14418206" w:tentative="1">
      <w:start w:val="1"/>
      <w:numFmt w:val="lowerRoman"/>
      <w:lvlText w:val="%9."/>
      <w:lvlJc w:val="right"/>
      <w:pPr>
        <w:ind w:left="6480" w:hanging="180"/>
      </w:pPr>
    </w:lvl>
  </w:abstractNum>
  <w:abstractNum w:abstractNumId="78245911">
    <w:multiLevelType w:val="hybridMultilevel"/>
    <w:lvl w:ilvl="0" w:tplc="23938250">
      <w:start w:val="1"/>
      <w:numFmt w:val="decimal"/>
      <w:lvlText w:val="%1."/>
      <w:lvlJc w:val="left"/>
      <w:pPr>
        <w:ind w:left="720" w:hanging="360"/>
      </w:pPr>
    </w:lvl>
    <w:lvl w:ilvl="1" w:tplc="23938250" w:tentative="1">
      <w:start w:val="1"/>
      <w:numFmt w:val="lowerLetter"/>
      <w:lvlText w:val="%2."/>
      <w:lvlJc w:val="left"/>
      <w:pPr>
        <w:ind w:left="1440" w:hanging="360"/>
      </w:pPr>
    </w:lvl>
    <w:lvl w:ilvl="2" w:tplc="23938250" w:tentative="1">
      <w:start w:val="1"/>
      <w:numFmt w:val="lowerRoman"/>
      <w:lvlText w:val="%3."/>
      <w:lvlJc w:val="right"/>
      <w:pPr>
        <w:ind w:left="2160" w:hanging="180"/>
      </w:pPr>
    </w:lvl>
    <w:lvl w:ilvl="3" w:tplc="23938250" w:tentative="1">
      <w:start w:val="1"/>
      <w:numFmt w:val="decimal"/>
      <w:lvlText w:val="%4."/>
      <w:lvlJc w:val="left"/>
      <w:pPr>
        <w:ind w:left="2880" w:hanging="360"/>
      </w:pPr>
    </w:lvl>
    <w:lvl w:ilvl="4" w:tplc="23938250" w:tentative="1">
      <w:start w:val="1"/>
      <w:numFmt w:val="lowerLetter"/>
      <w:lvlText w:val="%5."/>
      <w:lvlJc w:val="left"/>
      <w:pPr>
        <w:ind w:left="3600" w:hanging="360"/>
      </w:pPr>
    </w:lvl>
    <w:lvl w:ilvl="5" w:tplc="23938250" w:tentative="1">
      <w:start w:val="1"/>
      <w:numFmt w:val="lowerRoman"/>
      <w:lvlText w:val="%6."/>
      <w:lvlJc w:val="right"/>
      <w:pPr>
        <w:ind w:left="4320" w:hanging="180"/>
      </w:pPr>
    </w:lvl>
    <w:lvl w:ilvl="6" w:tplc="23938250" w:tentative="1">
      <w:start w:val="1"/>
      <w:numFmt w:val="decimal"/>
      <w:lvlText w:val="%7."/>
      <w:lvlJc w:val="left"/>
      <w:pPr>
        <w:ind w:left="5040" w:hanging="360"/>
      </w:pPr>
    </w:lvl>
    <w:lvl w:ilvl="7" w:tplc="23938250" w:tentative="1">
      <w:start w:val="1"/>
      <w:numFmt w:val="lowerLetter"/>
      <w:lvlText w:val="%8."/>
      <w:lvlJc w:val="left"/>
      <w:pPr>
        <w:ind w:left="5760" w:hanging="360"/>
      </w:pPr>
    </w:lvl>
    <w:lvl w:ilvl="8" w:tplc="23938250" w:tentative="1">
      <w:start w:val="1"/>
      <w:numFmt w:val="lowerRoman"/>
      <w:lvlText w:val="%9."/>
      <w:lvlJc w:val="right"/>
      <w:pPr>
        <w:ind w:left="6480" w:hanging="180"/>
      </w:pPr>
    </w:lvl>
  </w:abstractNum>
  <w:abstractNum w:abstractNumId="26047">
    <w:multiLevelType w:val="hybridMultilevel"/>
    <w:lvl w:ilvl="0" w:tplc="745475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047">
    <w:abstractNumId w:val="26047"/>
  </w:num>
  <w:num w:numId="78245911">
    <w:abstractNumId w:val="78245911"/>
  </w:num>
  <w:num w:numId="78245912">
    <w:abstractNumId w:val="782459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6085039" Type="http://schemas.openxmlformats.org/officeDocument/2006/relationships/numbering" Target="numbering.xml"/><Relationship Id="rId514007300" Type="http://schemas.openxmlformats.org/officeDocument/2006/relationships/comments" Target="comments.xml"/><Relationship Id="rId670767cdfa5766e6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