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8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4:28</w:t>
      </w:r>
    </w:p>
    <w:p>
      <w:pPr>
        <w:pStyle w:val="rNormal"/>
        <w:widowControl w:val="on"/>
        <w:spacing w:before="240" w:after="240" w:line="240" w:lineRule="auto"/>
        <w:ind w:left="0" w:right="0" w:firstLine="1"/>
        <w:jc w:val="left"/>
      </w:pPr>
      <w:r>
        <w:rPr>
          <w:b/>
          <w:bCs/>
        </w:rPr>
        <w:t xml:space="preserve">“There you will serve gods.”</w:t>
      </w:r>
      <w:r>
        <w:rPr/>
        <w:t xml:space="preserve"> Slaves and captives could be forced to “serve” gods even if they did not believe in them or worship them. The worship practices of ancient gods required a lot of work. Wood had to be gathered and kept in store for the altar fires, water had to be kept and kept clean for washing, animals had to be kept so they were available for the sacrifices. Special garments had to be kept for the priests or special services. The temples and holy sites had to be maintained—there was simply a lot of “service” that had to be performed to keep the worship of ancient gods, including Yahweh, going as prescribed.</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the REV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rFootnRef"/>
        </w:rPr>
        <w:footnoteReference w:id="30696"/>
      </w:r>
      <w:r>
        <w:rPr/>
        <w:t xml:space="preserve"> and the </w:t>
      </w:r>
      <w:r>
        <w:rPr>
          <w:i/>
          <w:iCs/>
        </w:rPr>
        <w:t xml:space="preserve">JPS Torah Commentary</w:t>
      </w:r>
      <w:r>
        <w:rPr/>
        <w:t xml:space="preserve"> has the comment: “Literally, ‘revere...by following.’” Everett Fox has, “in order that you may hold YHWH your God in awe, by keeping all his laws and his commandments….”</w:t>
      </w:r>
      <w:r>
        <w:rPr>
          <w:rStyle w:val="rFootnRef"/>
        </w:rPr>
        <w:footnoteReference w:id="12822"/>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rFootnRef"/>
        </w:rPr>
        <w:footnoteReference w:id="25113"/>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shrubs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There is no one else besides him.”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Furthermore, Yahweh is said to be the “father” (e.g. Deut. 32:6; Ps. 2:7; Isa. 63:16; 64:8; Mal. 1:6; cf. Ps. 103:13; Prov. 3:12). Furthermore, Yahweh says in many verses that He is the only God, and there is no God besides Him (e.g., Deut. 4:35, 39; 6:4; 2 Sam. 7:22; 1 Kings 8:60; 2 Kings 5:15; 1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the REV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rFootnRef"/>
        </w:rPr>
        <w:footnoteReference w:id="14300"/>
      </w:r>
      <w:r>
        <w:rPr/>
        <w:t xml:space="preserve"> The CSB has “Repeat them to your children;” the NAB has “Keep repeating them to your children;” and the NLT has “Repeat them again and again to your children.”</w:t>
      </w:r>
      <w:r>
        <w:rPr>
          <w:rStyle w:val="rFootnRef"/>
        </w:rPr>
        <w:footnoteReference w:id="18867"/>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 By the time of Deuteronomy and the book of Joshua, these tribes had become quite large, as Deuteronomy 7:1 says.</w:t>
      </w:r>
    </w:p>
    <w:p>
      <w:pPr>
        <w:pStyle w:val="rNormal"/>
        <w:widowControl w:val="on"/>
        <w:spacing w:before="240" w:after="240" w:line="240" w:lineRule="auto"/>
        <w:ind w:left="0" w:right="0"/>
        <w:jc w:val="left"/>
      </w:pPr>
      <w:r>
        <w:rPr/>
        <w:t xml:space="preserve">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rFootnRef"/>
        </w:rPr>
        <w:footnoteReference w:id="20151"/>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the REV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Word Study: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God did not want people eating flies, gnats, butterflies, and such. He does say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rFootnRef"/>
        </w:rPr>
        <w:footnoteReference w:id="17046"/>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rFootnRef"/>
        </w:rPr>
        <w:footnoteReference w:id="30773"/>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rFootnRef"/>
        </w:rPr>
        <w:footnoteReference w:id="13720"/>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rFootnRef"/>
        </w:rPr>
        <w:footnoteReference w:id="19307"/>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rFootnRef"/>
        </w:rPr>
        <w:footnoteReference w:id="26580"/>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rFootnRef"/>
        </w:rPr>
        <w:footnoteReference w:id="25764"/>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rFootnRef"/>
        </w:rPr>
        <w:footnoteReference w:id="29518"/>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In Hebrew and Greek, the word “hate” has a large range of meanings from actual “hate” to simply loving something less than something else, neglecting or ignoring something, or being disgusted by something. In this context, “hate” could refer to being disliked, ignored, or simply loved less, depending on the man and the relationship he had with his wife.</w:t>
      </w:r>
    </w:p>
    <w:p>
      <w:pPr>
        <w:pStyle w:val="rNormal"/>
        <w:widowControl w:val="on"/>
        <w:spacing w:before="240" w:after="240" w:line="240" w:lineRule="auto"/>
        <w:ind w:left="0" w:right="0"/>
        <w:jc w:val="left"/>
      </w:pPr>
      <w:r>
        <w:rPr/>
        <w:t xml:space="preserve">[For more information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were no windows,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at 14 or 15, and the boys at 16 or so. So any girl who was approached by a man to rape her could just cry out and she would have lots of help in just seconds.</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rFootnRef"/>
        </w:rPr>
        <w:footnoteReference w:id="27785"/>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wife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contemptible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rFootnRef"/>
        </w:rPr>
        <w:footnoteReference w:id="28064"/>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rFootnRef"/>
        </w:rPr>
        <w:footnoteReference w:id="22543"/>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The JPS Torah Commentary notes, “all three terms are reified with the definite article, which can be expressed in English by capitalization.” The JPS commentary uses the uncommon word “reified,” which means to consider something abstract as a material or concrete thing.</w:t>
      </w:r>
      <w:r>
        <w:rPr>
          <w:rStyle w:val="rFootnRef"/>
        </w:rPr>
        <w:footnoteReference w:id="25870"/>
      </w:r>
      <w:r>
        <w:rPr/>
        <w:t xml:space="preserve"> Everett Fox</w:t>
      </w:r>
      <w:r>
        <w:rPr>
          <w:rStyle w:val="rFootnRef"/>
        </w:rPr>
        <w:footnoteReference w:id="27627"/>
      </w:r>
      <w:r>
        <w:rPr/>
        <w:t xml:space="preserve"> capitalizes the three words as if they were real entities, not concepts, and The JPS Torah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rFootnRef"/>
        </w:rPr>
        <w:footnoteReference w:id="24921"/>
      </w:r>
      <w:r>
        <w:rPr/>
        <w:t xml:space="preserve">]</w:t>
      </w:r>
    </w:p>
    <w:p>
      <w:pPr>
        <w:pStyle w:val="rNormal"/>
        <w:widowControl w:val="on"/>
        <w:spacing w:before="240" w:after="240" w:line="240" w:lineRule="auto"/>
        <w:ind w:left="0" w:right="0"/>
        <w:jc w:val="left"/>
      </w:pPr>
      <w:r>
        <w:rPr/>
        <w:t xml:space="preserve">[See Word Study: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rFootnRef"/>
        </w:rPr>
        <w:footnoteReference w:id="27175"/>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rFootnRef"/>
        </w:rPr>
        <w:footnoteReference w:id="24013"/>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rFootnRef"/>
        </w:rPr>
        <w:footnoteReference w:id="24662"/>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rFootnRef"/>
        </w:rPr>
        <w:footnoteReference w:id="18081"/>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rFootnRef"/>
        </w:rPr>
        <w:footnoteReference w:id="22167"/>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rFootnRef"/>
        </w:rPr>
        <w:footnoteReference w:id="10920"/>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rFootnRef"/>
        </w:rPr>
        <w:footnoteReference w:id="15220"/>
      </w:r>
      <w:r>
        <w:rPr/>
        <w:t xml:space="preserve"> </w:t>
      </w:r>
      <w:r>
        <w:rPr>
          <w:i/>
          <w:iCs/>
        </w:rPr>
        <w:t xml:space="preserve">The</w:t>
      </w:r>
      <w:r>
        <w:rPr/>
        <w:t xml:space="preserve"> JPS Torah Commentary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rFootnRef"/>
        </w:rPr>
        <w:footnoteReference w:id="17400"/>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rFootnRef"/>
        </w:rPr>
        <w:footnoteReference w:id="28769"/>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rFootnRef"/>
        </w:rPr>
        <w:footnoteReference w:id="31804"/>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rFootnRef"/>
        </w:rPr>
        <w:footnoteReference w:id="18228"/>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rFootnRef"/>
        </w:rPr>
        <w:footnoteReference w:id="20601"/>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rFootnRef"/>
        </w:rPr>
        <w:footnoteReference w:id="32209"/>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rFootnRef"/>
        </w:rPr>
        <w:footnoteReference w:id="26070"/>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rFootnRef"/>
        </w:rPr>
        <w:footnoteReference w:id="18176"/>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rFootnRef"/>
        </w:rPr>
        <w:footnoteReference w:id="13318"/>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rFootnRef"/>
        </w:rPr>
        <w:footnoteReference w:id="31780"/>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the REV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614467cdfa3332c4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760513"/>
      <w:docPartObj>
        <w:docPartGallery w:val="Page Numbers (Bottom of Page)"/>
        <w:docPartUnique/>
      </w:docPartObj>
    </w:sdtPr>
    <w:sdtContent>
      <w:sdt>
        <w:sdtPr>
          <w:id w:val="4278841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696">
    <w:p>
      <w:pPr>
        <w:pStyle w:val="rFootn"/>
      </w:pPr>
      <w:r>
        <w:rPr>
          <w:rStyle w:val="rFootnRef"/>
        </w:rPr>
        <w:footnoteRef/>
      </w:r>
      <w:r>
        <w:t xml:space="preserve"> Peter Craigie, </w:t>
      </w:r>
      <w:r>
        <w:rPr>
          <w:i/>
        </w:rPr>
        <w:t xml:space="preserve">The Book of Deuteronomy</w:t>
      </w:r>
      <w:r>
        <w:t xml:space="preserve"> [NICOT], 167.</w:t>
      </w:r>
    </w:p>
  </w:footnote>
  <w:footnote w:id="12822">
    <w:p>
      <w:pPr>
        <w:pStyle w:val="rFootn"/>
      </w:pPr>
      <w:r>
        <w:rPr>
          <w:rStyle w:val="rFootnRef"/>
        </w:rPr>
        <w:footnoteRef/>
      </w:r>
      <w:r>
        <w:t xml:space="preserve"> Everett Fox, </w:t>
      </w:r>
      <w:r>
        <w:rPr>
          <w:i/>
        </w:rPr>
        <w:t xml:space="preserve">The Schocken Bible</w:t>
      </w:r>
      <w:r>
        <w:t xml:space="preserve">.</w:t>
      </w:r>
    </w:p>
  </w:footnote>
  <w:footnote w:id="25113">
    <w:p>
      <w:pPr>
        <w:pStyle w:val="rFootn"/>
      </w:pPr>
      <w:r>
        <w:rPr>
          <w:rStyle w:val="rFootnRef"/>
        </w:rPr>
        <w:footnoteRef/>
      </w:r>
      <w:r>
        <w:t xml:space="preserve"> Buzzard and Hunting, </w:t>
      </w:r>
      <w:r>
        <w:rPr>
          <w:i/>
        </w:rPr>
        <w:t xml:space="preserve">The Doctrine of the Trinity: Christianity’s Self-Inflicted Wound</w:t>
      </w:r>
      <w:r>
        <w:t xml:space="preserve">, 25.</w:t>
      </w:r>
    </w:p>
  </w:footnote>
  <w:footnote w:id="14300">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867">
    <w:p>
      <w:pPr>
        <w:pStyle w:val="rFootn"/>
      </w:pPr>
      <w:r>
        <w:rPr>
          <w:rStyle w:val="rFootnRef"/>
        </w:rPr>
        <w:footnoteRef/>
      </w:r>
      <w:r>
        <w:t xml:space="preserve"> Cf. Everett Fox, </w:t>
      </w:r>
      <w:r>
        <w:rPr>
          <w:i/>
        </w:rPr>
        <w:t xml:space="preserve">The Schocken Bible</w:t>
      </w:r>
      <w:r>
        <w:t xml:space="preserve">.</w:t>
      </w:r>
    </w:p>
  </w:footnote>
  <w:footnote w:id="20151">
    <w:p>
      <w:pPr>
        <w:pStyle w:val="rFootn"/>
      </w:pPr>
      <w:r>
        <w:rPr>
          <w:rStyle w:val="rFootnRef"/>
        </w:rPr>
        <w:footnoteRef/>
      </w:r>
      <w:r>
        <w:t xml:space="preserve"> Horatio B. Hackett, </w:t>
      </w:r>
      <w:r>
        <w:rPr>
          <w:i/>
        </w:rPr>
        <w:t xml:space="preserve"> Illustrations of Scripture</w:t>
      </w:r>
      <w:r>
        <w:t xml:space="preserve">, Chap. 1, para. “Terrors of the Desert,” Kindle.</w:t>
      </w:r>
    </w:p>
  </w:footnote>
  <w:footnote w:id="17046">
    <w:p>
      <w:pPr>
        <w:pStyle w:val="rFootn"/>
      </w:pPr>
      <w:r>
        <w:rPr>
          <w:rStyle w:val="rFootnRef"/>
        </w:rPr>
        <w:footnoteRef/>
      </w:r>
      <w:r>
        <w:t xml:space="preserve"> See E. W. Bullinger, </w:t>
      </w:r>
      <w:r>
        <w:rPr>
          <w:i/>
        </w:rPr>
        <w:t xml:space="preserve">Figures of Speech</w:t>
      </w:r>
      <w:r>
        <w:t xml:space="preserve">, 263, 394, “repetitio.”</w:t>
      </w:r>
    </w:p>
  </w:footnote>
  <w:footnote w:id="30773">
    <w:p>
      <w:pPr>
        <w:pStyle w:val="rFootn"/>
      </w:pPr>
      <w:r>
        <w:rPr>
          <w:rStyle w:val="rFootnRef"/>
        </w:rPr>
        <w:footnoteRef/>
      </w:r>
      <w:r>
        <w:t xml:space="preserve"> Merrill Unger, </w:t>
      </w:r>
      <w:r>
        <w:rPr>
          <w:i/>
        </w:rPr>
        <w:t xml:space="preserve">Biblical Demonology</w:t>
      </w:r>
      <w:r>
        <w:t xml:space="preserve">, 131.</w:t>
      </w:r>
    </w:p>
  </w:footnote>
  <w:footnote w:id="13720">
    <w:p>
      <w:pPr>
        <w:pStyle w:val="rFootn"/>
      </w:pPr>
      <w:r>
        <w:rPr>
          <w:rStyle w:val="rFootnRef"/>
        </w:rPr>
        <w:footnoteRef/>
      </w:r>
      <w:r>
        <w:t xml:space="preserve"> Koehler and Baumgartner, </w:t>
      </w:r>
      <w:r>
        <w:rPr>
          <w:i/>
        </w:rPr>
        <w:t xml:space="preserve">Hebrew and Aramaic Lexicon</w:t>
      </w:r>
      <w:r>
        <w:t xml:space="preserve">.</w:t>
      </w:r>
    </w:p>
  </w:footnote>
  <w:footnote w:id="19307">
    <w:p>
      <w:pPr>
        <w:pStyle w:val="rFootn"/>
      </w:pPr>
      <w:r>
        <w:rPr>
          <w:rStyle w:val="rFootnRef"/>
        </w:rPr>
        <w:footnoteRef/>
      </w:r>
      <w:r>
        <w:t xml:space="preserve"> Merrill Unger, </w:t>
      </w:r>
      <w:r>
        <w:rPr>
          <w:i/>
        </w:rPr>
        <w:t xml:space="preserve">Biblical Demonology</w:t>
      </w:r>
      <w:r>
        <w:t xml:space="preserve">, 153.</w:t>
      </w:r>
    </w:p>
  </w:footnote>
  <w:footnote w:id="26580">
    <w:p>
      <w:pPr>
        <w:pStyle w:val="rFootn"/>
      </w:pPr>
      <w:r>
        <w:rPr>
          <w:rStyle w:val="rFootnRef"/>
        </w:rPr>
        <w:footnoteRef/>
      </w:r>
      <w:r>
        <w:t xml:space="preserve"> BDB, </w:t>
      </w:r>
      <w:r>
        <w:rPr>
          <w:i/>
        </w:rPr>
        <w:t xml:space="preserve">Brown-Driver-Briggs Hebrew and English Lexicon</w:t>
      </w:r>
      <w:r>
        <w:t xml:space="preserve">.</w:t>
      </w:r>
    </w:p>
  </w:footnote>
  <w:footnote w:id="25764">
    <w:p>
      <w:pPr>
        <w:pStyle w:val="rFootn"/>
      </w:pPr>
      <w:r>
        <w:rPr>
          <w:rStyle w:val="rFootnRef"/>
        </w:rPr>
        <w:footnoteRef/>
      </w:r>
      <w:r>
        <w:t xml:space="preserve"> Walter Kaiser, Jr, </w:t>
      </w:r>
      <w:r>
        <w:rPr>
          <w:i/>
        </w:rPr>
        <w:t xml:space="preserve">Walking the Ancient Paths: A Commentary on Jeremiah</w:t>
      </w:r>
      <w:r>
        <w:t xml:space="preserve">, 232.</w:t>
      </w:r>
    </w:p>
  </w:footnote>
  <w:footnote w:id="29518">
    <w:p>
      <w:pPr>
        <w:pStyle w:val="rFootn"/>
      </w:pPr>
      <w:r>
        <w:rPr>
          <w:rStyle w:val="rFootnRef"/>
        </w:rPr>
        <w:footnoteRef/>
      </w:r>
      <w:r>
        <w:t xml:space="preserve"> Keil and Delitzsch, </w:t>
      </w:r>
      <w:r>
        <w:rPr>
          <w:i/>
        </w:rPr>
        <w:t xml:space="preserve">Commentary on the Old Testament: The Pentateuch</w:t>
      </w:r>
      <w:r>
        <w:t xml:space="preserve">, 409.</w:t>
      </w:r>
    </w:p>
  </w:footnote>
  <w:footnote w:id="27785">
    <w:p>
      <w:pPr>
        <w:pStyle w:val="rFootn"/>
      </w:pPr>
      <w:r>
        <w:rPr>
          <w:rStyle w:val="rFootnRef"/>
        </w:rPr>
        <w:footnoteRef/>
      </w:r>
      <w:r>
        <w:t xml:space="preserve"> Cf. Keil and Delitzsch, </w:t>
      </w:r>
      <w:r>
        <w:rPr>
          <w:i/>
        </w:rPr>
        <w:t xml:space="preserve">Commentary on the Old Testament: The Pentateuch</w:t>
      </w:r>
      <w:r>
        <w:t xml:space="preserve">, 416.</w:t>
      </w:r>
    </w:p>
  </w:footnote>
  <w:footnote w:id="28064">
    <w:p>
      <w:pPr>
        <w:pStyle w:val="rFootn"/>
      </w:pPr>
      <w:r>
        <w:rPr>
          <w:rStyle w:val="rFootnRef"/>
        </w:rPr>
        <w:footnoteRef/>
      </w:r>
      <w:r>
        <w:t xml:space="preserve"> See E. W. Bullinger, </w:t>
      </w:r>
      <w:r>
        <w:rPr>
          <w:i/>
        </w:rPr>
        <w:t xml:space="preserve">Figures of Speech Used in the Bible</w:t>
      </w:r>
      <w:r>
        <w:t xml:space="preserve">, 199, “anaphora.”</w:t>
      </w:r>
    </w:p>
  </w:footnote>
  <w:footnote w:id="22543">
    <w:p>
      <w:pPr>
        <w:pStyle w:val="rFootn"/>
      </w:pPr>
      <w:r>
        <w:rPr>
          <w:rStyle w:val="rFootnRef"/>
        </w:rPr>
        <w:footnoteRef/>
      </w:r>
      <w:r>
        <w:t xml:space="preserve"> E. W. Bullinger, </w:t>
      </w:r>
      <w:r>
        <w:rPr>
          <w:i/>
        </w:rPr>
        <w:t xml:space="preserve">Number in Scripture</w:t>
      </w:r>
      <w:r>
        <w:t xml:space="preserve">, “Six hundred and sixty six,” 282.</w:t>
      </w:r>
    </w:p>
  </w:footnote>
  <w:footnote w:id="25870">
    <w:p>
      <w:pPr>
        <w:pStyle w:val="rFootn"/>
      </w:pPr>
      <w:r>
        <w:rPr>
          <w:rStyle w:val="rFootnRef"/>
        </w:rPr>
        <w:footnoteRef/>
      </w:r>
      <w:r>
        <w:t xml:space="preserve"> See also, S. R. Driver, </w:t>
      </w:r>
      <w:r>
        <w:rPr>
          <w:i/>
        </w:rPr>
        <w:t xml:space="preserve">Deuteronomy</w:t>
      </w:r>
      <w:r>
        <w:t xml:space="preserve"> [ICC], 307.</w:t>
      </w:r>
    </w:p>
  </w:footnote>
  <w:footnote w:id="27627">
    <w:p>
      <w:pPr>
        <w:pStyle w:val="rFootn"/>
      </w:pPr>
      <w:r>
        <w:rPr>
          <w:rStyle w:val="rFootnRef"/>
        </w:rPr>
        <w:footnoteRef/>
      </w:r>
      <w:r>
        <w:t xml:space="preserve"> Everett Fox, T</w:t>
      </w:r>
      <w:r>
        <w:rPr>
          <w:i/>
        </w:rPr>
        <w:t xml:space="preserve">he Schocken Bible</w:t>
      </w:r>
      <w:r>
        <w:t xml:space="preserve">.</w:t>
      </w:r>
    </w:p>
  </w:footnote>
  <w:footnote w:id="24921">
    <w:p>
      <w:pPr>
        <w:pStyle w:val="rFootn"/>
      </w:pPr>
      <w:r>
        <w:rPr>
          <w:rStyle w:val="rFootnRef"/>
        </w:rPr>
        <w:footnoteRef/>
      </w:r>
      <w:r>
        <w:t xml:space="preserve"> Bullinger, </w:t>
      </w:r>
      <w:r>
        <w:rPr>
          <w:i/>
        </w:rPr>
        <w:t xml:space="preserve">Figures of Speech Used in the Bible</w:t>
      </w:r>
      <w:r>
        <w:t xml:space="preserve">, 307, “paronomasia.”</w:t>
      </w:r>
    </w:p>
  </w:footnote>
  <w:footnote w:id="27175">
    <w:p>
      <w:pPr>
        <w:pStyle w:val="rFootn"/>
      </w:pPr>
      <w:r>
        <w:rPr>
          <w:rStyle w:val="rFootnRef"/>
        </w:rPr>
        <w:footnoteRef/>
      </w:r>
      <w:r>
        <w:t xml:space="preserve"> Cf. Peter Craigie, </w:t>
      </w:r>
      <w:r>
        <w:rPr>
          <w:i/>
        </w:rPr>
        <w:t xml:space="preserve">The Book of Deuteronomy</w:t>
      </w:r>
      <w:r>
        <w:t xml:space="preserve"> [NICOT].</w:t>
      </w:r>
    </w:p>
  </w:footnote>
  <w:footnote w:id="24013">
    <w:p>
      <w:pPr>
        <w:pStyle w:val="rFootn"/>
      </w:pPr>
      <w:r>
        <w:rPr>
          <w:rStyle w:val="rFootnRef"/>
        </w:rPr>
        <w:footnoteRef/>
      </w:r>
      <w:r>
        <w:t xml:space="preserve"> See Bullinger, </w:t>
      </w:r>
      <w:r>
        <w:rPr>
          <w:i/>
        </w:rPr>
        <w:t xml:space="preserve">Figures of Speech</w:t>
      </w:r>
      <w:r>
        <w:t xml:space="preserve">, 159, “tapeinosis.”</w:t>
      </w:r>
    </w:p>
  </w:footnote>
  <w:footnote w:id="24662">
    <w:p>
      <w:pPr>
        <w:pStyle w:val="rFootn"/>
      </w:pPr>
      <w:r>
        <w:rPr>
          <w:rStyle w:val="rFootnRef"/>
        </w:rPr>
        <w:footnoteRef/>
      </w:r>
      <w:r>
        <w:t xml:space="preserve"> Cf. E. Fox, </w:t>
      </w:r>
      <w:r>
        <w:rPr>
          <w:i/>
        </w:rPr>
        <w:t xml:space="preserve">The Schocken Bible: The Five Books of Moses</w:t>
      </w:r>
      <w:r>
        <w:t xml:space="preserve">.</w:t>
      </w:r>
    </w:p>
  </w:footnote>
  <w:footnote w:id="18081">
    <w:p>
      <w:pPr>
        <w:pStyle w:val="rFootn"/>
      </w:pPr>
      <w:r>
        <w:rPr>
          <w:rStyle w:val="rFootnRef"/>
        </w:rPr>
        <w:footnoteRef/>
      </w:r>
      <w:r>
        <w:t xml:space="preserve"> Peter Craigie, </w:t>
      </w:r>
      <w:r>
        <w:rPr>
          <w:i/>
        </w:rPr>
        <w:t xml:space="preserve">The Book of Deuteronomy</w:t>
      </w:r>
      <w:r>
        <w:t xml:space="preserve"> [NICOT].</w:t>
      </w:r>
    </w:p>
  </w:footnote>
  <w:footnote w:id="22167">
    <w:p>
      <w:pPr>
        <w:pStyle w:val="rFootn"/>
      </w:pPr>
      <w:r>
        <w:rPr>
          <w:rStyle w:val="rFootnRef"/>
        </w:rPr>
        <w:footnoteRef/>
      </w:r>
      <w:r>
        <w:t xml:space="preserve"> Cf. Peter Craigie, </w:t>
      </w:r>
      <w:r>
        <w:rPr>
          <w:i/>
        </w:rPr>
        <w:t xml:space="preserve">The Book of Deuteronomy</w:t>
      </w:r>
      <w:r>
        <w:t xml:space="preserve"> [NICOT].</w:t>
      </w:r>
    </w:p>
  </w:footnote>
  <w:footnote w:id="10920">
    <w:p>
      <w:pPr>
        <w:pStyle w:val="rFootn"/>
      </w:pPr>
      <w:r>
        <w:rPr>
          <w:rStyle w:val="rFootnRef"/>
        </w:rPr>
        <w:footnoteRef/>
      </w:r>
      <w:r>
        <w:t xml:space="preserve"> Keil and Delitzsch, </w:t>
      </w:r>
      <w:r>
        <w:rPr>
          <w:i/>
        </w:rPr>
        <w:t xml:space="preserve">Commentary on the Old Testament</w:t>
      </w:r>
      <w:r>
        <w:t xml:space="preserve">, 474.</w:t>
      </w:r>
    </w:p>
  </w:footnote>
  <w:footnote w:id="15220">
    <w:p>
      <w:pPr>
        <w:pStyle w:val="rFootn"/>
      </w:pPr>
      <w:r>
        <w:rPr>
          <w:rStyle w:val="rFootnRef"/>
        </w:rPr>
        <w:footnoteRef/>
      </w:r>
      <w:r>
        <w:t xml:space="preserve"> Keil and Delitzsch, </w:t>
      </w:r>
      <w:r>
        <w:rPr>
          <w:i/>
        </w:rPr>
        <w:t xml:space="preserve">Commentary on the Old Testament</w:t>
      </w:r>
      <w:r>
        <w:t xml:space="preserve">, 474-75.</w:t>
      </w:r>
    </w:p>
  </w:footnote>
  <w:footnote w:id="17400">
    <w:p>
      <w:pPr>
        <w:pStyle w:val="rFootn"/>
      </w:pPr>
      <w:r>
        <w:rPr>
          <w:rStyle w:val="rFootnRef"/>
        </w:rPr>
        <w:footnoteRef/>
      </w:r>
      <w:r>
        <w:t xml:space="preserve"> Jeffrey Tigay, </w:t>
      </w:r>
      <w:r>
        <w:rPr>
          <w:i/>
        </w:rPr>
        <w:t xml:space="preserve">JPS Torah Commentary: Deuteronomy</w:t>
      </w:r>
      <w:r>
        <w:t xml:space="preserve">, 306.</w:t>
      </w:r>
    </w:p>
  </w:footnote>
  <w:footnote w:id="28769">
    <w:p>
      <w:pPr>
        <w:pStyle w:val="rFootn"/>
      </w:pPr>
      <w:r>
        <w:rPr>
          <w:rStyle w:val="rFootnRef"/>
        </w:rPr>
        <w:footnoteRef/>
      </w:r>
      <w:r>
        <w:t xml:space="preserve"> Cf. Everett Fox, </w:t>
      </w:r>
      <w:r>
        <w:rPr>
          <w:i/>
        </w:rPr>
        <w:t xml:space="preserve">The Schocken Bible</w:t>
      </w:r>
      <w:r>
        <w:t xml:space="preserve">.</w:t>
      </w:r>
    </w:p>
  </w:footnote>
  <w:footnote w:id="31804">
    <w:p>
      <w:pPr>
        <w:pStyle w:val="rFootn"/>
      </w:pPr>
      <w:r>
        <w:rPr>
          <w:rStyle w:val="rFootnRef"/>
        </w:rPr>
        <w:footnoteRef/>
      </w:r>
      <w:r>
        <w:t xml:space="preserve"> Peter Craigie, </w:t>
      </w:r>
      <w:r>
        <w:rPr>
          <w:i/>
        </w:rPr>
        <w:t xml:space="preserve">The Book of Deuteronomy</w:t>
      </w:r>
      <w:r>
        <w:t xml:space="preserve"> [NICOT].</w:t>
      </w:r>
    </w:p>
  </w:footnote>
  <w:footnote w:id="18228">
    <w:p>
      <w:pPr>
        <w:pStyle w:val="rFootn"/>
      </w:pPr>
      <w:r>
        <w:rPr>
          <w:rStyle w:val="rFootnRef"/>
        </w:rPr>
        <w:footnoteRef/>
      </w:r>
      <w:r>
        <w:t xml:space="preserve"> Everett Fox, </w:t>
      </w:r>
      <w:r>
        <w:rPr>
          <w:i/>
        </w:rPr>
        <w:t xml:space="preserve">The Schocken Bible: The Five Books of Moses</w:t>
      </w:r>
      <w:r>
        <w:t xml:space="preserve">.</w:t>
      </w:r>
    </w:p>
  </w:footnote>
  <w:footnote w:id="20601">
    <w:p>
      <w:pPr>
        <w:pStyle w:val="rFootn"/>
      </w:pPr>
      <w:r>
        <w:rPr>
          <w:rStyle w:val="rFootnRef"/>
        </w:rPr>
        <w:footnoteRef/>
      </w:r>
      <w:r>
        <w:t xml:space="preserve"> Keil and Delitzsch, </w:t>
      </w:r>
      <w:r>
        <w:rPr>
          <w:i/>
        </w:rPr>
        <w:t xml:space="preserve">Commentary on the Old Testament: The Pentateuch</w:t>
      </w:r>
      <w:r>
        <w:t xml:space="preserve">, 489-90.</w:t>
      </w:r>
    </w:p>
  </w:footnote>
  <w:footnote w:id="32209">
    <w:p>
      <w:pPr>
        <w:pStyle w:val="rFootn"/>
      </w:pPr>
      <w:r>
        <w:rPr>
          <w:rStyle w:val="rFootnRef"/>
        </w:rPr>
        <w:footnoteRef/>
      </w:r>
      <w:r>
        <w:t xml:space="preserve"> Cf. Abegg, Flint, and Ulrich, </w:t>
      </w:r>
      <w:r>
        <w:rPr>
          <w:i/>
        </w:rPr>
        <w:t xml:space="preserve">The Dead Sea Scrolls Bible</w:t>
      </w:r>
      <w:r>
        <w:t xml:space="preserve">.</w:t>
      </w:r>
    </w:p>
  </w:footnote>
  <w:footnote w:id="26070">
    <w:p>
      <w:pPr>
        <w:pStyle w:val="rFootn"/>
      </w:pPr>
      <w:r>
        <w:rPr>
          <w:rStyle w:val="rFootnRef"/>
        </w:rPr>
        <w:footnoteRef/>
      </w:r>
      <w:r>
        <w:t xml:space="preserve"> Peter Craigie, </w:t>
      </w:r>
      <w:r>
        <w:rPr>
          <w:i/>
        </w:rPr>
        <w:t xml:space="preserve">The Book of Deuteronomy</w:t>
      </w:r>
      <w:r>
        <w:t xml:space="preserve"> [NICOT], 392.</w:t>
      </w:r>
    </w:p>
  </w:footnote>
  <w:footnote w:id="18176">
    <w:p>
      <w:pPr>
        <w:pStyle w:val="rFootn"/>
      </w:pPr>
      <w:r>
        <w:rPr>
          <w:rStyle w:val="rFootnRef"/>
        </w:rPr>
        <w:footnoteRef/>
      </w:r>
      <w:r>
        <w:t xml:space="preserve"> Jeffrey Tigay, </w:t>
      </w:r>
      <w:r>
        <w:rPr>
          <w:i/>
        </w:rPr>
        <w:t xml:space="preserve">The JPS Torah Commentary: Deuteronomy</w:t>
      </w:r>
      <w:r>
        <w:t xml:space="preserve">.</w:t>
      </w:r>
    </w:p>
  </w:footnote>
  <w:footnote w:id="13318">
    <w:p>
      <w:pPr>
        <w:pStyle w:val="rFootn"/>
      </w:pPr>
      <w:r>
        <w:rPr>
          <w:rStyle w:val="rFootnRef"/>
        </w:rPr>
        <w:footnoteRef/>
      </w:r>
      <w:r>
        <w:t xml:space="preserve"> Keil &amp;amp; Delitzsch, </w:t>
      </w:r>
      <w:r>
        <w:rPr>
          <w:i/>
        </w:rPr>
        <w:t xml:space="preserve">Commentary on the Old Testament: The Pentateuch</w:t>
      </w:r>
      <w:r>
        <w:t xml:space="preserve">, 510.</w:t>
      </w:r>
    </w:p>
  </w:footnote>
  <w:footnote w:id="31780">
    <w:p>
      <w:pPr>
        <w:pStyle w:val="rFootn"/>
      </w:pPr>
      <w:r>
        <w:rPr>
          <w:rStyle w:val="rFootnRef"/>
        </w:rPr>
        <w:footnoteRef/>
      </w:r>
      <w:r>
        <w:t xml:space="preserve"> Cf. Keil &amp;amp; Delitzsch, </w:t>
      </w:r>
      <w:r>
        <w:rPr>
          <w:i/>
        </w:rPr>
        <w:t xml:space="preserve">Commentary on the Old Testament: The Pentateuch</w:t>
      </w:r>
      <w:r>
        <w:t xml:space="preserve">, 511.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531362">
    <w:multiLevelType w:val="hybridMultilevel"/>
    <w:lvl w:ilvl="0" w:tplc="32577032">
      <w:start w:val="1"/>
      <w:numFmt w:val="decimal"/>
      <w:lvlText w:val="%1."/>
      <w:lvlJc w:val="left"/>
      <w:pPr>
        <w:ind w:left="720" w:hanging="360"/>
      </w:pPr>
    </w:lvl>
    <w:lvl w:ilvl="1" w:tplc="32577032" w:tentative="1">
      <w:start w:val="1"/>
      <w:numFmt w:val="lowerLetter"/>
      <w:lvlText w:val="%2."/>
      <w:lvlJc w:val="left"/>
      <w:pPr>
        <w:ind w:left="1440" w:hanging="360"/>
      </w:pPr>
    </w:lvl>
    <w:lvl w:ilvl="2" w:tplc="32577032" w:tentative="1">
      <w:start w:val="1"/>
      <w:numFmt w:val="lowerRoman"/>
      <w:lvlText w:val="%3."/>
      <w:lvlJc w:val="right"/>
      <w:pPr>
        <w:ind w:left="2160" w:hanging="180"/>
      </w:pPr>
    </w:lvl>
    <w:lvl w:ilvl="3" w:tplc="32577032" w:tentative="1">
      <w:start w:val="1"/>
      <w:numFmt w:val="decimal"/>
      <w:lvlText w:val="%4."/>
      <w:lvlJc w:val="left"/>
      <w:pPr>
        <w:ind w:left="2880" w:hanging="360"/>
      </w:pPr>
    </w:lvl>
    <w:lvl w:ilvl="4" w:tplc="32577032" w:tentative="1">
      <w:start w:val="1"/>
      <w:numFmt w:val="lowerLetter"/>
      <w:lvlText w:val="%5."/>
      <w:lvlJc w:val="left"/>
      <w:pPr>
        <w:ind w:left="3600" w:hanging="360"/>
      </w:pPr>
    </w:lvl>
    <w:lvl w:ilvl="5" w:tplc="32577032" w:tentative="1">
      <w:start w:val="1"/>
      <w:numFmt w:val="lowerRoman"/>
      <w:lvlText w:val="%6."/>
      <w:lvlJc w:val="right"/>
      <w:pPr>
        <w:ind w:left="4320" w:hanging="180"/>
      </w:pPr>
    </w:lvl>
    <w:lvl w:ilvl="6" w:tplc="32577032" w:tentative="1">
      <w:start w:val="1"/>
      <w:numFmt w:val="decimal"/>
      <w:lvlText w:val="%7."/>
      <w:lvlJc w:val="left"/>
      <w:pPr>
        <w:ind w:left="5040" w:hanging="360"/>
      </w:pPr>
    </w:lvl>
    <w:lvl w:ilvl="7" w:tplc="32577032" w:tentative="1">
      <w:start w:val="1"/>
      <w:numFmt w:val="lowerLetter"/>
      <w:lvlText w:val="%8."/>
      <w:lvlJc w:val="left"/>
      <w:pPr>
        <w:ind w:left="5760" w:hanging="360"/>
      </w:pPr>
    </w:lvl>
    <w:lvl w:ilvl="8" w:tplc="32577032" w:tentative="1">
      <w:start w:val="1"/>
      <w:numFmt w:val="lowerRoman"/>
      <w:lvlText w:val="%9."/>
      <w:lvlJc w:val="right"/>
      <w:pPr>
        <w:ind w:left="6480" w:hanging="180"/>
      </w:pPr>
    </w:lvl>
  </w:abstractNum>
  <w:abstractNum w:abstractNumId="13692">
    <w:multiLevelType w:val="hybridMultilevel"/>
    <w:lvl w:ilvl="0" w:tplc="313989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692">
    <w:abstractNumId w:val="13692"/>
  </w:num>
  <w:num w:numId="78531362">
    <w:abstractNumId w:val="7853136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5170811" Type="http://schemas.openxmlformats.org/officeDocument/2006/relationships/numbering" Target="numbering.xml"/><Relationship Id="rId149762830" Type="http://schemas.openxmlformats.org/officeDocument/2006/relationships/comments" Target="comments.xml"/><Relationship Id="rId614467cdfa3332c4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