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7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rFootnRef"/>
        </w:rPr>
        <w:footnoteReference w:id="15369"/>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rFootnRef"/>
        </w:rPr>
        <w:footnoteReference w:id="16511"/>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rFootnRef"/>
        </w:rPr>
        <w:footnoteReference w:id="19727"/>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ultimately was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rFootnRef"/>
        </w:rPr>
        <w:footnoteReference w:id="22487"/>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rFootnRef"/>
        </w:rPr>
        <w:footnoteReference w:id="28527"/>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rFootnRef"/>
        </w:rPr>
        <w:footnoteReference w:id="30575"/>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rFootnRef"/>
        </w:rPr>
        <w:footnoteReference w:id="15027"/>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w:t>
      </w:r>
      <w:r>
        <w:rPr>
          <w:b/>
          <w:bCs/>
          <w:i/>
          <w:iCs/>
        </w:rPr>
        <w:t xml:space="preserve">between</w:t>
      </w:r>
      <w:r>
        <w:rPr>
          <w:b/>
          <w:bCs/>
        </w:rPr>
        <w:t xml:space="preserve"> the cherubim.”</w:t>
      </w:r>
      <w:r>
        <w:rPr/>
        <w:t xml:space="preserve"> Yahweh dwelt between the cherubim that were on the atonement cover (traditionally “mercy seat”) of the ark of the covenant (see commentary on Num. 7:89). Although 2 Samuel 6:2 does not specifically use the word “between,” Numbers 7:89 does, so we learn from other verses that God appeared and spoke from over the Atonement Cover and between the cherubim.</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rFootnRef"/>
        </w:rPr>
        <w:footnoteReference w:id="2564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rFootnRef"/>
        </w:rPr>
        <w:footnoteReference w:id="10084"/>
      </w:r>
      <w:r>
        <w:rPr/>
        <w:t xml:space="preserve"> P. Kyle McCarter, Jr. has a good explanation of the emendation.</w:t>
      </w:r>
      <w:r>
        <w:rPr>
          <w:rStyle w:val="rFootnRef"/>
        </w:rPr>
        <w:footnoteReference w:id="10675"/>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rFootnRef"/>
        </w:rPr>
        <w:footnoteReference w:id="21319"/>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rFootnRef"/>
        </w:rPr>
        <w:footnoteReference w:id="32703"/>
      </w:r>
      <w:r>
        <w:rPr/>
        <w:t xml:space="preserve"> However, Everett Fox points out that the halting syntax of the Hebrew text may not be due to a defective text but rather to Tamar’s broken emotional state: she had just been raped.</w:t>
      </w:r>
      <w:r>
        <w:rPr>
          <w:rStyle w:val="rFootnRef"/>
        </w:rPr>
        <w:footnoteReference w:id="15742"/>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rFootnRef"/>
        </w:rPr>
        <w:footnoteReference w:id="25997"/>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rFootnRef"/>
        </w:rPr>
        <w:footnoteReference w:id="2704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508867cdfa371860c"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rFootnRef"/>
        </w:rPr>
        <w:footnoteReference w:id="30812"/>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rFootnRef"/>
        </w:rPr>
        <w:footnoteReference w:id="23101"/>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rFootnRef"/>
        </w:rPr>
        <w:footnoteReference w:id="15113"/>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rFootnRef"/>
        </w:rPr>
        <w:footnoteReference w:id="11571"/>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rFootnRef"/>
        </w:rPr>
        <w:footnoteReference w:id="29103"/>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888767cdfa36b708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423070"/>
      <w:docPartObj>
        <w:docPartGallery w:val="Page Numbers (Bottom of Page)"/>
        <w:docPartUnique/>
      </w:docPartObj>
    </w:sdtPr>
    <w:sdtContent>
      <w:sdt>
        <w:sdtPr>
          <w:id w:val="7675691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369">
    <w:p>
      <w:pPr>
        <w:pStyle w:val="rFootn"/>
      </w:pPr>
      <w:r>
        <w:rPr>
          <w:rStyle w:val="rFootnRef"/>
        </w:rPr>
        <w:footnoteRef/>
      </w:r>
      <w:r>
        <w:t xml:space="preserve"> Cf. P. Kyle McCarter, </w:t>
      </w:r>
      <w:r>
        <w:rPr>
          <w:i/>
        </w:rPr>
        <w:t xml:space="preserve">2 Samuel</w:t>
      </w:r>
      <w:r>
        <w:t xml:space="preserve"> [AB], 55.</w:t>
      </w:r>
    </w:p>
  </w:footnote>
  <w:footnote w:id="16511">
    <w:p>
      <w:pPr>
        <w:pStyle w:val="rFootn"/>
      </w:pPr>
      <w:r>
        <w:rPr>
          <w:rStyle w:val="rFootnRef"/>
        </w:rPr>
        <w:footnoteRef/>
      </w:r>
      <w:r>
        <w:t xml:space="preserve"> Koehler Baumgartner, </w:t>
      </w:r>
      <w:r>
        <w:rPr>
          <w:i/>
        </w:rPr>
        <w:t xml:space="preserve">Hebrew and Aramaic Lexicon of the Old Testament</w:t>
      </w:r>
      <w:r>
        <w:t xml:space="preserve">.</w:t>
      </w:r>
    </w:p>
  </w:footnote>
  <w:footnote w:id="19727">
    <w:p>
      <w:pPr>
        <w:pStyle w:val="rFootn"/>
      </w:pPr>
      <w:r>
        <w:rPr>
          <w:rStyle w:val="rFootnRef"/>
        </w:rPr>
        <w:footnoteRef/>
      </w:r>
      <w:r>
        <w:t xml:space="preserve"> A. Berlin, M. Brettler, M. Fishbane, </w:t>
      </w:r>
      <w:r>
        <w:rPr>
          <w:i/>
        </w:rPr>
        <w:t xml:space="preserve">Jewish Study Bible: Tanakh Translation</w:t>
      </w:r>
      <w:r>
        <w:t xml:space="preserve">, Jewish Publication Society.</w:t>
      </w:r>
    </w:p>
  </w:footnote>
  <w:footnote w:id="22487">
    <w:p>
      <w:pPr>
        <w:pStyle w:val="rFootn"/>
      </w:pPr>
      <w:r>
        <w:rPr>
          <w:rStyle w:val="rFootnRef"/>
        </w:rPr>
        <w:footnoteRef/>
      </w:r>
      <w:r>
        <w:t xml:space="preserve"> See E. W. Bullinger, </w:t>
      </w:r>
      <w:r>
        <w:rPr>
          <w:i/>
        </w:rPr>
        <w:t xml:space="preserve">Figures of Speech Used in the Bible</w:t>
      </w:r>
      <w:r>
        <w:t xml:space="preserve">, 267, “polyptoton.”</w:t>
      </w:r>
    </w:p>
  </w:footnote>
  <w:footnote w:id="28527">
    <w:p>
      <w:pPr>
        <w:pStyle w:val="rFootn"/>
      </w:pPr>
      <w:r>
        <w:rPr>
          <w:rStyle w:val="rFootnRef"/>
        </w:rPr>
        <w:footnoteRef/>
      </w:r>
      <w:r>
        <w:t xml:space="preserve"> Andrew Steinmann, </w:t>
      </w:r>
      <w:r>
        <w:rPr>
          <w:i/>
        </w:rPr>
        <w:t xml:space="preserve">2 Samuel</w:t>
      </w:r>
      <w:r>
        <w:t xml:space="preserve"> [ConcC].</w:t>
      </w:r>
    </w:p>
  </w:footnote>
  <w:footnote w:id="30575">
    <w:p>
      <w:pPr>
        <w:pStyle w:val="rFootn"/>
      </w:pPr>
      <w:r>
        <w:rPr>
          <w:rStyle w:val="rFootnRef"/>
        </w:rPr>
        <w:footnoteRef/>
      </w:r>
      <w:r>
        <w:t xml:space="preserve"> Eilat Mazar, “The Undiscovered Palace of King David in Jerusalem,” </w:t>
      </w:r>
      <w:r>
        <w:rPr>
          <w:i/>
        </w:rPr>
        <w:t xml:space="preserve">Biblical Archaeological Review</w:t>
      </w:r>
      <w:r>
        <w:t xml:space="preserve">, Jan/Feb, 1997.</w:t>
      </w:r>
    </w:p>
  </w:footnote>
  <w:footnote w:id="15027">
    <w:p>
      <w:pPr>
        <w:pStyle w:val="rFootn"/>
      </w:pPr>
      <w:r>
        <w:rPr>
          <w:rStyle w:val="rFootnRef"/>
        </w:rPr>
        <w:footnoteRef/>
      </w:r>
      <w:r>
        <w:t xml:space="preserve"> Kathleen M. Kenyon, </w:t>
      </w:r>
      <w:r>
        <w:rPr>
          <w:i/>
        </w:rPr>
        <w:t xml:space="preserve">Digging Up Jerusalem</w:t>
      </w:r>
      <w:r>
        <w:t xml:space="preserve">, 103.</w:t>
      </w:r>
    </w:p>
  </w:footnote>
  <w:footnote w:id="25645">
    <w:p>
      <w:pPr>
        <w:pStyle w:val="rFootn"/>
      </w:pPr>
      <w:r>
        <w:rPr>
          <w:rStyle w:val="rFootnRef"/>
        </w:rPr>
        <w:footnoteRef/>
      </w:r>
      <w:r>
        <w:t xml:space="preserve"> See Koehler and Baumgartner, </w:t>
      </w:r>
      <w:r>
        <w:rPr>
          <w:i/>
        </w:rPr>
        <w:t xml:space="preserve">HALOT</w:t>
      </w:r>
      <w:r>
        <w:t xml:space="preserve"> </w:t>
      </w:r>
      <w:r>
        <w:rPr>
          <w:i/>
        </w:rPr>
        <w:t xml:space="preserve">Hebrew and Aramaic Lexicon</w:t>
      </w:r>
      <w:r>
        <w:t xml:space="preserve">.</w:t>
      </w:r>
    </w:p>
  </w:footnote>
  <w:footnote w:id="10084">
    <w:p>
      <w:pPr>
        <w:pStyle w:val="rFootn"/>
      </w:pPr>
      <w:r>
        <w:rPr>
          <w:rStyle w:val="rFootnRef"/>
        </w:rPr>
        <w:footnoteRef/>
      </w:r>
      <w:r>
        <w:t xml:space="preserve"> E. W. Bullinger, </w:t>
      </w:r>
      <w:r>
        <w:rPr>
          <w:i/>
        </w:rPr>
        <w:t xml:space="preserve">Companion Bible</w:t>
      </w:r>
      <w:r>
        <w:t xml:space="preserve">, Appendix 33.</w:t>
      </w:r>
    </w:p>
  </w:footnote>
  <w:footnote w:id="10675">
    <w:p>
      <w:pPr>
        <w:pStyle w:val="rFootn"/>
      </w:pPr>
      <w:r>
        <w:rPr>
          <w:rStyle w:val="rFootnRef"/>
        </w:rPr>
        <w:footnoteRef/>
      </w:r>
      <w:r>
        <w:t xml:space="preserve"> P. Kyle McCarter, Jr., </w:t>
      </w:r>
      <w:r>
        <w:rPr>
          <w:i/>
        </w:rPr>
        <w:t xml:space="preserve">2 Samuel</w:t>
      </w:r>
      <w:r>
        <w:t xml:space="preserve"> [AB], 296.</w:t>
      </w:r>
    </w:p>
  </w:footnote>
  <w:footnote w:id="21319">
    <w:p>
      <w:pPr>
        <w:pStyle w:val="rFootn"/>
      </w:pPr>
      <w:r>
        <w:rPr>
          <w:rStyle w:val="rFootnRef"/>
        </w:rPr>
        <w:footnoteRef/>
      </w:r>
      <w:r>
        <w:t xml:space="preserve"> See Holladay, </w:t>
      </w:r>
      <w:r>
        <w:rPr>
          <w:i/>
        </w:rPr>
        <w:t xml:space="preserve">Hebrew and Aramaic Lexicon</w:t>
      </w:r>
      <w:r>
        <w:t xml:space="preserve">; Everett Fox, </w:t>
      </w:r>
      <w:r>
        <w:rPr>
          <w:i/>
        </w:rPr>
        <w:t xml:space="preserve">The Schocken Bible: The Early Prophets</w:t>
      </w:r>
      <w:r>
        <w:t xml:space="preserve">.</w:t>
      </w:r>
    </w:p>
  </w:footnote>
  <w:footnote w:id="32703">
    <w:p>
      <w:pPr>
        <w:pStyle w:val="rFootn"/>
      </w:pPr>
      <w:r>
        <w:rPr>
          <w:rStyle w:val="rFootnRef"/>
        </w:rPr>
        <w:footnoteRef/>
      </w:r>
      <w:r>
        <w:t xml:space="preserve"> P. Kyle McCarter, Jr., </w:t>
      </w:r>
      <w:r>
        <w:rPr>
          <w:i/>
        </w:rPr>
        <w:t xml:space="preserve">2 Samuel</w:t>
      </w:r>
      <w:r>
        <w:t xml:space="preserve"> [AB], 318.</w:t>
      </w:r>
    </w:p>
  </w:footnote>
  <w:footnote w:id="15742">
    <w:p>
      <w:pPr>
        <w:pStyle w:val="rFootn"/>
      </w:pPr>
      <w:r>
        <w:rPr>
          <w:rStyle w:val="rFootnRef"/>
        </w:rPr>
        <w:footnoteRef/>
      </w:r>
      <w:r>
        <w:t xml:space="preserve"> E. Fox, </w:t>
      </w:r>
      <w:r>
        <w:rPr>
          <w:i/>
        </w:rPr>
        <w:t xml:space="preserve">The Schocken Bible: The Early Prophets</w:t>
      </w:r>
      <w:r>
        <w:t xml:space="preserve">, vol 2.</w:t>
      </w:r>
    </w:p>
  </w:footnote>
  <w:footnote w:id="25997">
    <w:p>
      <w:pPr>
        <w:pStyle w:val="rFootn"/>
      </w:pPr>
      <w:r>
        <w:rPr>
          <w:rStyle w:val="rFootnRef"/>
        </w:rPr>
        <w:footnoteRef/>
      </w:r>
      <w:r>
        <w:t xml:space="preserve"> Cf. P. Kyle McCarter, Jr., </w:t>
      </w:r>
      <w:r>
        <w:rPr>
          <w:i/>
        </w:rPr>
        <w:t xml:space="preserve">2 Samuel</w:t>
      </w:r>
      <w:r>
        <w:t xml:space="preserve"> [AB], 330, 333.</w:t>
      </w:r>
    </w:p>
  </w:footnote>
  <w:footnote w:id="27044">
    <w:p>
      <w:pPr>
        <w:pStyle w:val="rFootn"/>
      </w:pPr>
      <w:r>
        <w:rPr>
          <w:rStyle w:val="rFootnRef"/>
        </w:rPr>
        <w:footnoteRef/>
      </w:r>
      <w:r>
        <w:t xml:space="preserve"> Cf. P. Kyle McCarter, Jr., </w:t>
      </w:r>
      <w:r>
        <w:rPr>
          <w:i/>
        </w:rPr>
        <w:t xml:space="preserve">2 Samuel</w:t>
      </w:r>
      <w:r>
        <w:t xml:space="preserve"> [AB], 344; Everett Fox, </w:t>
      </w:r>
      <w:r>
        <w:rPr>
          <w:i/>
        </w:rPr>
        <w:t xml:space="preserve">The Shocken Bible: The Early Prophets</w:t>
      </w:r>
      <w:r>
        <w:t xml:space="preserve">, vol. 2.</w:t>
      </w:r>
    </w:p>
  </w:footnote>
  <w:footnote w:id="30812">
    <w:p>
      <w:pPr>
        <w:pStyle w:val="rFootn"/>
      </w:pPr>
      <w:r>
        <w:rPr>
          <w:rStyle w:val="rFootnRef"/>
        </w:rPr>
        <w:footnoteRef/>
      </w:r>
      <w:r>
        <w:t xml:space="preserve"> See, P. Kyle McCarter, </w:t>
      </w:r>
      <w:r>
        <w:rPr>
          <w:i/>
        </w:rPr>
        <w:t xml:space="preserve">2 Samuel</w:t>
      </w:r>
      <w:r>
        <w:t xml:space="preserve"> [AB], 356.</w:t>
      </w:r>
    </w:p>
  </w:footnote>
  <w:footnote w:id="23101">
    <w:p>
      <w:pPr>
        <w:pStyle w:val="rFootn"/>
      </w:pPr>
      <w:r>
        <w:rPr>
          <w:rStyle w:val="rFootnRef"/>
        </w:rPr>
        <w:footnoteRef/>
      </w:r>
      <w:r>
        <w:t xml:space="preserve"> Robert Alter, </w:t>
      </w:r>
      <w:r>
        <w:rPr>
          <w:i/>
        </w:rPr>
        <w:t xml:space="preserve">The Hebrew Bible: A translation with commentary</w:t>
      </w:r>
      <w:r>
        <w:t xml:space="preserve">, vol. 3.</w:t>
      </w:r>
    </w:p>
  </w:footnote>
  <w:footnote w:id="15113">
    <w:p>
      <w:pPr>
        <w:pStyle w:val="rFootn"/>
      </w:pPr>
      <w:r>
        <w:rPr>
          <w:rStyle w:val="rFootnRef"/>
        </w:rPr>
        <w:footnoteRef/>
      </w:r>
      <w:r>
        <w:t xml:space="preserve"> E. Fox, </w:t>
      </w:r>
      <w:r>
        <w:rPr>
          <w:i/>
        </w:rPr>
        <w:t xml:space="preserve">The Schocken Bible</w:t>
      </w:r>
      <w:r>
        <w:t xml:space="preserve">.</w:t>
      </w:r>
    </w:p>
  </w:footnote>
  <w:footnote w:id="11571">
    <w:p>
      <w:pPr>
        <w:pStyle w:val="rFootn"/>
      </w:pPr>
      <w:r>
        <w:rPr>
          <w:rStyle w:val="rFootnRef"/>
        </w:rPr>
        <w:footnoteRef/>
      </w:r>
      <w:r>
        <w:t xml:space="preserve"> For “sources,” see David Tsumura, </w:t>
      </w:r>
      <w:r>
        <w:rPr>
          <w:i/>
        </w:rPr>
        <w:t xml:space="preserve">The Second Book of Samuel</w:t>
      </w:r>
      <w:r>
        <w:t xml:space="preserve"> [NICOT].</w:t>
      </w:r>
    </w:p>
  </w:footnote>
  <w:footnote w:id="29103">
    <w:p>
      <w:pPr>
        <w:pStyle w:val="rFootn"/>
      </w:pPr>
      <w:r>
        <w:rPr>
          <w:rStyle w:val="rFootnRef"/>
        </w:rPr>
        <w:footnoteRef/>
      </w:r>
      <w:r>
        <w:t xml:space="preserve"> </w:t>
      </w:r>
      <w:r>
        <w:rPr>
          <w:i/>
        </w:rPr>
        <w:t xml:space="preserve">Strong’s Lexicon</w:t>
      </w:r>
      <w:r>
        <w:t xml:space="preserve">; BDB.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281354">
    <w:multiLevelType w:val="hybridMultilevel"/>
    <w:lvl w:ilvl="0" w:tplc="93340952">
      <w:start w:val="1"/>
      <w:numFmt w:val="decimal"/>
      <w:lvlText w:val="%1."/>
      <w:lvlJc w:val="left"/>
      <w:pPr>
        <w:ind w:left="720" w:hanging="360"/>
      </w:pPr>
    </w:lvl>
    <w:lvl w:ilvl="1" w:tplc="93340952" w:tentative="1">
      <w:start w:val="1"/>
      <w:numFmt w:val="lowerLetter"/>
      <w:lvlText w:val="%2."/>
      <w:lvlJc w:val="left"/>
      <w:pPr>
        <w:ind w:left="1440" w:hanging="360"/>
      </w:pPr>
    </w:lvl>
    <w:lvl w:ilvl="2" w:tplc="93340952" w:tentative="1">
      <w:start w:val="1"/>
      <w:numFmt w:val="lowerRoman"/>
      <w:lvlText w:val="%3."/>
      <w:lvlJc w:val="right"/>
      <w:pPr>
        <w:ind w:left="2160" w:hanging="180"/>
      </w:pPr>
    </w:lvl>
    <w:lvl w:ilvl="3" w:tplc="93340952" w:tentative="1">
      <w:start w:val="1"/>
      <w:numFmt w:val="decimal"/>
      <w:lvlText w:val="%4."/>
      <w:lvlJc w:val="left"/>
      <w:pPr>
        <w:ind w:left="2880" w:hanging="360"/>
      </w:pPr>
    </w:lvl>
    <w:lvl w:ilvl="4" w:tplc="93340952" w:tentative="1">
      <w:start w:val="1"/>
      <w:numFmt w:val="lowerLetter"/>
      <w:lvlText w:val="%5."/>
      <w:lvlJc w:val="left"/>
      <w:pPr>
        <w:ind w:left="3600" w:hanging="360"/>
      </w:pPr>
    </w:lvl>
    <w:lvl w:ilvl="5" w:tplc="93340952" w:tentative="1">
      <w:start w:val="1"/>
      <w:numFmt w:val="lowerRoman"/>
      <w:lvlText w:val="%6."/>
      <w:lvlJc w:val="right"/>
      <w:pPr>
        <w:ind w:left="4320" w:hanging="180"/>
      </w:pPr>
    </w:lvl>
    <w:lvl w:ilvl="6" w:tplc="93340952" w:tentative="1">
      <w:start w:val="1"/>
      <w:numFmt w:val="decimal"/>
      <w:lvlText w:val="%7."/>
      <w:lvlJc w:val="left"/>
      <w:pPr>
        <w:ind w:left="5040" w:hanging="360"/>
      </w:pPr>
    </w:lvl>
    <w:lvl w:ilvl="7" w:tplc="93340952" w:tentative="1">
      <w:start w:val="1"/>
      <w:numFmt w:val="lowerLetter"/>
      <w:lvlText w:val="%8."/>
      <w:lvlJc w:val="left"/>
      <w:pPr>
        <w:ind w:left="5760" w:hanging="360"/>
      </w:pPr>
    </w:lvl>
    <w:lvl w:ilvl="8" w:tplc="93340952" w:tentative="1">
      <w:start w:val="1"/>
      <w:numFmt w:val="lowerRoman"/>
      <w:lvlText w:val="%9."/>
      <w:lvlJc w:val="right"/>
      <w:pPr>
        <w:ind w:left="6480" w:hanging="180"/>
      </w:pPr>
    </w:lvl>
  </w:abstractNum>
  <w:abstractNum w:abstractNumId="3249">
    <w:multiLevelType w:val="hybridMultilevel"/>
    <w:lvl w:ilvl="0" w:tplc="810419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9">
    <w:abstractNumId w:val="3249"/>
  </w:num>
  <w:num w:numId="26281354">
    <w:abstractNumId w:val="262813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5443400" Type="http://schemas.openxmlformats.org/officeDocument/2006/relationships/numbering" Target="numbering.xml"/><Relationship Id="rId180662101" Type="http://schemas.openxmlformats.org/officeDocument/2006/relationships/comments" Target="comments.xml"/><Relationship Id="rId888767cdfa36b7089" Type="http://schemas.openxmlformats.org/officeDocument/2006/relationships/footer" Target="defaultFooter.xml"/><Relationship Id="rId508867cdfa371860c"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