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rFootnRef"/>
        </w:rPr>
        <w:footnoteReference w:id="15763"/>
      </w:r>
      <w:r>
        <w:rPr/>
        <w:t xml:space="preserve"> Judah was serving idols.</w:t>
      </w:r>
    </w:p>
    <w:p>
      <w:pPr>
        <w:pStyle w:val="rNormal"/>
        <w:widowControl w:val="on"/>
        <w:spacing w:before="240" w:after="240" w:line="240" w:lineRule="auto"/>
        <w:ind w:left="0" w:right="0" w:firstLine="1"/>
        <w:jc w:val="left"/>
      </w:pPr>
      <w:r>
        <w:rPr>
          <w:b/>
          <w:bCs/>
        </w:rPr>
        <w:t xml:space="preserve">“worthlessness.”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rFootnRef"/>
        </w:rPr>
        <w:footnoteReference w:id="23418"/>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rFootnRef"/>
        </w:rPr>
        <w:footnoteReference w:id="16115"/>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rFootnRef"/>
        </w:rPr>
        <w:footnoteReference w:id="21970"/>
      </w:r>
      <w:r>
        <w:rPr/>
        <w:t xml:space="preserve"> The BDB</w:t>
      </w:r>
      <w:r>
        <w:rPr>
          <w:rStyle w:val="rFootnRef"/>
        </w:rPr>
        <w:footnoteReference w:id="20043"/>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rFootnRef"/>
        </w:rPr>
        <w:footnoteReference w:id="10516"/>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“has 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and just as Israel was deported to Assyria, eventually Judah was deported to Babylon, and even after Judah was allowed to return to their homeland during the Persian empire, after they were deported to Babylon there never has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rFootnRef"/>
        </w:rPr>
        <w:footnoteReference w:id="13392"/>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rFootnRef"/>
        </w:rPr>
        <w:footnoteReference w:id="26648"/>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because the word used for “deceive” here is related to the name “Jacob.” Thus the idea in the text is something like every brother will be a “Jacob” and deceive and supplant his brother like Jacob deceived and supplanted Esau. In fact, it has been suggested that the verse could be translated that every brother is a “deceiving Jacob.”</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rFootnRef"/>
        </w:rPr>
        <w:footnoteReference w:id="19378"/>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rFootnRef"/>
        </w:rPr>
        <w:footnoteReference w:id="11814"/>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was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rFootnRef"/>
        </w:rPr>
        <w:footnoteReference w:id="26131"/>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8966"/>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rFootnRef"/>
        </w:rPr>
        <w:footnoteReference w:id="29148"/>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15419"/>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be not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Appendix 16: “Usages of ‘Soul’”).</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rFootnRef"/>
        </w:rPr>
        <w:footnoteReference w:id="18990"/>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341967cdfa3f65d44"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rFootnRef"/>
        </w:rPr>
        <w:footnoteReference w:id="26894"/>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rFootnRef"/>
        </w:rPr>
        <w:footnoteReference w:id="11931"/>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rFootnRef"/>
        </w:rPr>
        <w:footnoteReference w:id="30587"/>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“Then some people said.”</w:t>
      </w:r>
      <w:r>
        <w:rPr/>
        <w:t xml:space="preserve"> The Hebrew text is literally “they said,” but who “they” are has to be gleaned from the context. In this case, it refers not to all the people but to Jeremiah’s enemies.</w:t>
      </w:r>
    </w:p>
    <w:p>
      <w:pPr>
        <w:pStyle w:val="rNormal"/>
        <w:widowControl w:val="on"/>
        <w:spacing w:before="240" w:after="240" w:line="240" w:lineRule="auto"/>
        <w:ind w:left="0" w:right="0" w:firstLine="1"/>
        <w:jc w:val="left"/>
      </w:pPr>
      <w:r>
        <w:rPr>
          <w:b/>
          <w:bCs/>
        </w:rPr>
        <w:t xml:space="preserve">“for the teaching of the law by the priests will not be lost.”</w:t>
      </w:r>
      <w:r>
        <w:rPr/>
        <w:t xml:space="preserve"> Jeremiah’s enemies planned to get rid of Jeremiah and almost managed to kill him on several occasions. Jeremiah was a priest and therefore supposedly valuable for society, but his enemies reasoned that even if they got rid of Jeremiah the priest there would still be other priests to teach the law, although the priests they listened to had been compromised and were teaching lies. Jeremiah’s enemies thought, “What’s the problem with getting rid of one priest, there are other priests around.”</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rFootnRef"/>
        </w:rPr>
        <w:footnoteReference w:id="10331"/>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rFootnRef"/>
        </w:rPr>
        <w:footnoteReference w:id="31297"/>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rFootnRef"/>
        </w:rPr>
        <w:footnoteReference w:id="12010"/>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17725"/>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rFootnRef"/>
        </w:rPr>
        <w:footnoteReference w:id="21922"/>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who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descendent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descendent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rFootnRef"/>
        </w:rPr>
        <w:footnoteReference w:id="31077"/>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Appendix 16: “Usages of ‘Soul.’”]</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In Jeremiah 18:11 God spoke to Jeremiah and said, “So now, speak to the men of Judah and to the inhabitants of Jerusalem, saying, ‘This is what Yahweh says: Behold, I am shaping evil against you, and planning a plan against you. Turn back, each one of you, from your evil ways and amend your ways and your doings.’” Also,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rFootnRef"/>
        </w:rPr>
        <w:footnoteReference w:id="15473"/>
      </w:r>
      <w:r>
        <w:rPr/>
        <w:t xml:space="preserve"> Barnes’ commentary on the Bible correctly states that the “Messiah shall be revealed to them out of their own midst.”</w:t>
      </w:r>
      <w:r>
        <w:rPr>
          <w:rStyle w:val="rFootnRef"/>
        </w:rPr>
        <w:footnoteReference w:id="18286"/>
      </w:r>
      <w:r>
        <w:rPr/>
        <w:t xml:space="preserve"> Ancient Jews applied Jeremiah 30:21 to the Messiah. Alfred Edersheim wrote, “Jeremiah 30:21 is applied to the Messiah in the Targum, and also in the Midrash on Psalm 21:7.”</w:t>
      </w:r>
      <w:r>
        <w:rPr>
          <w:rStyle w:val="rFootnRef"/>
        </w:rPr>
        <w:footnoteReference w:id="19896"/>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dwelled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rFootnRef"/>
        </w:rPr>
        <w:footnoteReference w:id="28346"/>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54:7;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“pay attention to.”</w:t>
      </w:r>
      <w:r>
        <w:rPr/>
        <w:t xml:space="preserve"> The Hebrew text is literally “hear,” but this is the idiomatic use—the full or “pregnant” sense—of the word “hear,” which means more than just hear audibly, it means to hear, listen to, pay attention to, and act upon. In this context, “listen to” or “pay attention to” is better than “hear” because God’s intention was not just that the Judeans would “hear” about the disaster that was coming, but would “pay attention” to God’s warning and change their ways. Many verbs have an idiomatic or “pregnant” sense, including “remember,” “look” (or “see”), and “know” (see commentary on Luke 23:42).</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Normal"/>
        <w:widowControl w:val="on"/>
        <w:spacing w:before="240" w:after="240" w:line="240" w:lineRule="auto"/>
        <w:ind w:left="0" w:right="0" w:firstLine="1"/>
        <w:jc w:val="left"/>
      </w:pPr>
      <w:r>
        <w:rPr>
          <w:b/>
          <w:bCs/>
        </w:rPr>
        <w:t xml:space="preserve">“then I will forgive their iniquity and their sin.”</w:t>
      </w:r>
      <w:r>
        <w:rPr/>
        <w:t xml:space="preserve"> God makes it clear in other places in the Bible that if people turn from their evil ways, God will bless them (cf. Jer. 18:7-10; 36:3; Ezek. 3:17-21; 18:21-24; 33:12-16).</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rFootnRef"/>
        </w:rPr>
        <w:footnoteReference w:id="18886"/>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 Thus the CSB has,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rFootnRef"/>
        </w:rPr>
        <w:footnoteReference w:id="18133"/>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Appendix 16: “Usages of ‘Soul’”).</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REV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rFootnRef"/>
        </w:rPr>
        <w:footnoteReference w:id="13479"/>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rFootnRef"/>
        </w:rPr>
        <w:footnoteReference w:id="23315"/>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rFootnRef"/>
        </w:rPr>
        <w:footnoteReference w:id="10836"/>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the REV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rFootnRef"/>
        </w:rPr>
        <w:footnoteReference w:id="23999"/>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rFootnRef"/>
        </w:rPr>
        <w:footnoteReference w:id="16707"/>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rFootnRef"/>
        </w:rPr>
        <w:footnoteReference w:id="31426"/>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Also see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killed the sons of Zedekiah.”</w:t>
      </w:r>
      <w:r>
        <w:rPr/>
        <w:t xml:space="preserve"> Cf.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910867cdfa3edc1f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145456"/>
      <w:docPartObj>
        <w:docPartGallery w:val="Page Numbers (Bottom of Page)"/>
        <w:docPartUnique/>
      </w:docPartObj>
    </w:sdtPr>
    <w:sdtContent>
      <w:sdt>
        <w:sdtPr>
          <w:id w:val="6701954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763">
    <w:p>
      <w:pPr>
        <w:pStyle w:val="rFootn"/>
      </w:pPr>
      <w:r>
        <w:rPr>
          <w:rStyle w:val="rFootnRef"/>
        </w:rPr>
        <w:footnoteRef/>
      </w:r>
      <w:r>
        <w:t xml:space="preserve"> J. A. Thompson, </w:t>
      </w:r>
      <w:r>
        <w:rPr>
          <w:i/>
        </w:rPr>
        <w:t xml:space="preserve">The Book of Jeremiah</w:t>
      </w:r>
      <w:r>
        <w:t xml:space="preserve"> [NICOT], 167.</w:t>
      </w:r>
    </w:p>
  </w:footnote>
  <w:footnote w:id="23418">
    <w:p>
      <w:pPr>
        <w:pStyle w:val="rFootn"/>
      </w:pPr>
      <w:r>
        <w:rPr>
          <w:rStyle w:val="rFootnRef"/>
        </w:rPr>
        <w:footnoteRef/>
      </w:r>
      <w:r>
        <w:t xml:space="preserve"> Walter Kaiser, Jr., </w:t>
      </w:r>
      <w:r>
        <w:rPr>
          <w:i/>
        </w:rPr>
        <w:t xml:space="preserve">Walking the Ancient Paths</w:t>
      </w:r>
      <w:r>
        <w:t xml:space="preserve">, 51.</w:t>
      </w:r>
    </w:p>
  </w:footnote>
  <w:footnote w:id="16115">
    <w:p>
      <w:pPr>
        <w:pStyle w:val="rFootn"/>
      </w:pPr>
      <w:r>
        <w:rPr>
          <w:rStyle w:val="rFootnRef"/>
        </w:rPr>
        <w:footnoteRef/>
      </w:r>
      <w:r>
        <w:t xml:space="preserve"> Keil and Delitzsch, </w:t>
      </w:r>
      <w:r>
        <w:rPr>
          <w:i/>
        </w:rPr>
        <w:t xml:space="preserve">Commentary on the Old Testament</w:t>
      </w:r>
      <w:r>
        <w:t xml:space="preserve">, 8:42.</w:t>
      </w:r>
    </w:p>
  </w:footnote>
  <w:footnote w:id="21970">
    <w:p>
      <w:pPr>
        <w:pStyle w:val="rFootn"/>
      </w:pPr>
      <w:r>
        <w:rPr>
          <w:rStyle w:val="rFootnRef"/>
        </w:rPr>
        <w:footnoteRef/>
      </w:r>
      <w:r>
        <w:t xml:space="preserve"> Cf.</w:t>
      </w:r>
      <w:r>
        <w:rPr>
          <w:i/>
        </w:rPr>
        <w:t xml:space="preserve"> HALOT</w:t>
      </w:r>
      <w:r>
        <w:t xml:space="preserve"> and Holladay.</w:t>
      </w:r>
    </w:p>
  </w:footnote>
  <w:footnote w:id="20043">
    <w:p>
      <w:pPr>
        <w:pStyle w:val="rFootn"/>
      </w:pPr>
      <w:r>
        <w:rPr>
          <w:rStyle w:val="rFootnRef"/>
        </w:rPr>
        <w:footnoteRef/>
      </w:r>
      <w:r>
        <w:t xml:space="preserve"> </w:t>
      </w:r>
      <w:r>
        <w:rPr>
          <w:i/>
        </w:rPr>
        <w:t xml:space="preserve">Brown-Driver-Briggs Hebrew and English Lexicon</w:t>
      </w:r>
      <w:r>
        <w:t xml:space="preserve">.</w:t>
      </w:r>
    </w:p>
  </w:footnote>
  <w:footnote w:id="10516">
    <w:p>
      <w:pPr>
        <w:pStyle w:val="rFootn"/>
      </w:pPr>
      <w:r>
        <w:rPr>
          <w:rStyle w:val="rFootnRef"/>
        </w:rPr>
        <w:footnoteRef/>
      </w:r>
      <w:r>
        <w:t xml:space="preserve"> J. A. Thompson, </w:t>
      </w:r>
      <w:r>
        <w:rPr>
          <w:i/>
        </w:rPr>
        <w:t xml:space="preserve">The Book of Jeremiah</w:t>
      </w:r>
      <w:r>
        <w:t xml:space="preserve"> [NICOT], 178.</w:t>
      </w:r>
    </w:p>
  </w:footnote>
  <w:footnote w:id="13392">
    <w:p>
      <w:pPr>
        <w:pStyle w:val="rFootn"/>
      </w:pPr>
      <w:r>
        <w:rPr>
          <w:rStyle w:val="rFootnRef"/>
        </w:rPr>
        <w:footnoteRef/>
      </w:r>
      <w:r>
        <w:t xml:space="preserve"> Keil and Delitzsch, </w:t>
      </w:r>
      <w:r>
        <w:rPr>
          <w:i/>
        </w:rPr>
        <w:t xml:space="preserve">Commentary on the Old Testament</w:t>
      </w:r>
      <w:r>
        <w:t xml:space="preserve">, 8:103.</w:t>
      </w:r>
    </w:p>
  </w:footnote>
  <w:footnote w:id="26648">
    <w:p>
      <w:pPr>
        <w:pStyle w:val="rFootn"/>
      </w:pPr>
      <w:r>
        <w:rPr>
          <w:rStyle w:val="rFootnRef"/>
        </w:rPr>
        <w:footnoteRef/>
      </w:r>
      <w:r>
        <w:t xml:space="preserve"> J. A. Thompson, </w:t>
      </w:r>
      <w:r>
        <w:rPr>
          <w:i/>
        </w:rPr>
        <w:t xml:space="preserve">The Book of Jeremiah</w:t>
      </w:r>
      <w:r>
        <w:t xml:space="preserve"> [NICOT], 295.</w:t>
      </w:r>
    </w:p>
  </w:footnote>
  <w:footnote w:id="19378">
    <w:p>
      <w:pPr>
        <w:pStyle w:val="rFootn"/>
      </w:pPr>
      <w:r>
        <w:rPr>
          <w:rStyle w:val="rFootnRef"/>
        </w:rPr>
        <w:footnoteRef/>
      </w:r>
      <w:r>
        <w:t xml:space="preserve"> Cf. J. A. Thompson, </w:t>
      </w:r>
      <w:r>
        <w:rPr>
          <w:i/>
        </w:rPr>
        <w:t xml:space="preserve">The Book of Jeremiah</w:t>
      </w:r>
      <w:r>
        <w:t xml:space="preserve"> [NICOT], 311.</w:t>
      </w:r>
    </w:p>
  </w:footnote>
  <w:footnote w:id="11814">
    <w:p>
      <w:pPr>
        <w:pStyle w:val="rFootn"/>
      </w:pPr>
      <w:r>
        <w:rPr>
          <w:rStyle w:val="rFootnRef"/>
        </w:rPr>
        <w:footnoteRef/>
      </w:r>
      <w:r>
        <w:t xml:space="preserve"> Koehler and Baumgartner, </w:t>
      </w:r>
      <w:r>
        <w:rPr>
          <w:i/>
        </w:rPr>
        <w:t xml:space="preserve"> Hebrew and Aramaic Lexicon</w:t>
      </w:r>
      <w:r>
        <w:t xml:space="preserve">.</w:t>
      </w:r>
    </w:p>
  </w:footnote>
  <w:footnote w:id="26131">
    <w:p>
      <w:pPr>
        <w:pStyle w:val="rFootn"/>
      </w:pPr>
      <w:r>
        <w:rPr>
          <w:rStyle w:val="rFootnRef"/>
        </w:rPr>
        <w:footnoteRef/>
      </w:r>
      <w:r>
        <w:t xml:space="preserve"> J. A. Thompson, </w:t>
      </w:r>
      <w:r>
        <w:rPr>
          <w:i/>
        </w:rPr>
        <w:t xml:space="preserve">The Book of Jeremiah</w:t>
      </w:r>
      <w:r>
        <w:t xml:space="preserve"> [NICOT], 346.</w:t>
      </w:r>
    </w:p>
  </w:footnote>
  <w:footnote w:id="18966">
    <w:p>
      <w:pPr>
        <w:pStyle w:val="rFootn"/>
      </w:pPr>
      <w:r>
        <w:rPr>
          <w:rStyle w:val="rFootnRef"/>
        </w:rPr>
        <w:footnoteRef/>
      </w:r>
      <w:r>
        <w:t xml:space="preserve"> </w:t>
      </w:r>
      <w:r>
        <w:rPr>
          <w:i/>
        </w:rPr>
        <w:t xml:space="preserve">Brown-Driver-Briggs Hebrew and English Lexicon</w:t>
      </w:r>
      <w:r>
        <w:t xml:space="preserve">.</w:t>
      </w:r>
    </w:p>
  </w:footnote>
  <w:footnote w:id="29148">
    <w:p>
      <w:pPr>
        <w:pStyle w:val="rFootn"/>
      </w:pPr>
      <w:r>
        <w:rPr>
          <w:rStyle w:val="rFootnRef"/>
        </w:rPr>
        <w:footnoteRef/>
      </w:r>
      <w:r>
        <w:t xml:space="preserve"> J. A. Thompson, </w:t>
      </w:r>
      <w:r>
        <w:rPr>
          <w:i/>
        </w:rPr>
        <w:t xml:space="preserve">The Book of Jeremiah</w:t>
      </w:r>
      <w:r>
        <w:t xml:space="preserve"> [NICOT].</w:t>
      </w:r>
    </w:p>
  </w:footnote>
  <w:footnote w:id="15419">
    <w:p>
      <w:pPr>
        <w:pStyle w:val="rFootn"/>
      </w:pPr>
      <w:r>
        <w:rPr>
          <w:rStyle w:val="rFootnRef"/>
        </w:rPr>
        <w:footnoteRef/>
      </w:r>
      <w:r>
        <w:t xml:space="preserve"> </w:t>
      </w:r>
      <w:r>
        <w:rPr>
          <w:i/>
        </w:rPr>
        <w:t xml:space="preserve">The Jerusalem Report</w:t>
      </w:r>
      <w:r>
        <w:t xml:space="preserve"> 30, no. 13 (Tamuz 5, 5779/July 8, 2019): 22.</w:t>
      </w:r>
    </w:p>
  </w:footnote>
  <w:footnote w:id="18990">
    <w:p>
      <w:pPr>
        <w:pStyle w:val="rFootn"/>
      </w:pPr>
      <w:r>
        <w:rPr>
          <w:rStyle w:val="rFootnRef"/>
        </w:rPr>
        <w:footnoteRef/>
      </w:r>
      <w:r>
        <w:t xml:space="preserve"> Horatio B. Hackett, </w:t>
      </w:r>
      <w:r>
        <w:rPr>
          <w:i/>
        </w:rPr>
        <w:t xml:space="preserve">Illustrations of Scripture</w:t>
      </w:r>
      <w:r>
        <w:t xml:space="preserve">, chap. 1, para. “Salt Deserts,” Kindle.</w:t>
      </w:r>
    </w:p>
  </w:footnote>
  <w:footnote w:id="26894">
    <w:p>
      <w:pPr>
        <w:pStyle w:val="rFootn"/>
      </w:pPr>
      <w:r>
        <w:rPr>
          <w:rStyle w:val="rFootnRef"/>
        </w:rPr>
        <w:footnoteRef/>
      </w:r>
      <w:r>
        <w:t xml:space="preserve"> William Hollady, </w:t>
      </w:r>
      <w:r>
        <w:rPr>
          <w:i/>
        </w:rPr>
        <w:t xml:space="preserve">Jeremiah</w:t>
      </w:r>
      <w:r>
        <w:t xml:space="preserve">, Hermeneia.</w:t>
      </w:r>
    </w:p>
  </w:footnote>
  <w:footnote w:id="11931">
    <w:p>
      <w:pPr>
        <w:pStyle w:val="rFootn"/>
      </w:pPr>
      <w:r>
        <w:rPr>
          <w:rStyle w:val="rFootnRef"/>
        </w:rPr>
        <w:footnoteRef/>
      </w:r>
      <w:r>
        <w:t xml:space="preserve"> </w:t>
      </w:r>
      <w:r>
        <w:rPr>
          <w:i/>
        </w:rPr>
        <w:t xml:space="preserve">Strong’s Lexicon</w:t>
      </w:r>
      <w:r>
        <w:t xml:space="preserve">; BDB.</w:t>
      </w:r>
    </w:p>
  </w:footnote>
  <w:footnote w:id="30587">
    <w:p>
      <w:pPr>
        <w:pStyle w:val="rFootn"/>
      </w:pPr>
      <w:r>
        <w:rPr>
          <w:rStyle w:val="rFootnRef"/>
        </w:rPr>
        <w:footnoteRef/>
      </w:r>
      <w:r>
        <w:t xml:space="preserve"> NET First Edition text note on J. P. Hyatt, </w:t>
      </w:r>
      <w:r>
        <w:rPr>
          <w:i/>
        </w:rPr>
        <w:t xml:space="preserve">Exodus</w:t>
      </w:r>
      <w:r>
        <w:t xml:space="preserve">, New Century Bible Commentary, 307.</w:t>
      </w:r>
    </w:p>
  </w:footnote>
  <w:footnote w:id="10331">
    <w:p>
      <w:pPr>
        <w:pStyle w:val="rFootn"/>
      </w:pPr>
      <w:r>
        <w:rPr>
          <w:rStyle w:val="rFootnRef"/>
        </w:rPr>
        <w:footnoteRef/>
      </w:r>
      <w:r>
        <w:t xml:space="preserve"> Walter Kaiser, Jr., </w:t>
      </w:r>
      <w:r>
        <w:rPr>
          <w:i/>
        </w:rPr>
        <w:t xml:space="preserve">Walking the Ancient Paths: A Commentary on Jeremiah</w:t>
      </w:r>
      <w:r>
        <w:t xml:space="preserve">, 247.</w:t>
      </w:r>
    </w:p>
  </w:footnote>
  <w:footnote w:id="31297">
    <w:p>
      <w:pPr>
        <w:pStyle w:val="rFootn"/>
      </w:pPr>
      <w:r>
        <w:rPr>
          <w:rStyle w:val="rFootnRef"/>
        </w:rPr>
        <w:footnoteRef/>
      </w:r>
      <w:r>
        <w:t xml:space="preserve"> Walter Kaiser, Jr., </w:t>
      </w:r>
      <w:r>
        <w:rPr>
          <w:i/>
        </w:rPr>
        <w:t xml:space="preserve">Walking the Ancient Paths</w:t>
      </w:r>
      <w:r>
        <w:t xml:space="preserve">, 247-248 and footnote 274.</w:t>
      </w:r>
    </w:p>
  </w:footnote>
  <w:footnote w:id="12010">
    <w:p>
      <w:pPr>
        <w:pStyle w:val="rFootn"/>
      </w:pPr>
      <w:r>
        <w:rPr>
          <w:rStyle w:val="rFootnRef"/>
        </w:rPr>
        <w:footnoteRef/>
      </w:r>
      <w:r>
        <w:t xml:space="preserve"> Walter Kaiser, Jr., </w:t>
      </w:r>
      <w:r>
        <w:rPr>
          <w:i/>
        </w:rPr>
        <w:t xml:space="preserve">Walking the Ancient Paths: A Commentary on Jeremiah</w:t>
      </w:r>
      <w:r>
        <w:t xml:space="preserve">, 248.</w:t>
      </w:r>
    </w:p>
  </w:footnote>
  <w:footnote w:id="17725">
    <w:p>
      <w:pPr>
        <w:pStyle w:val="rFootn"/>
      </w:pPr>
      <w:r>
        <w:rPr>
          <w:rStyle w:val="rFootnRef"/>
        </w:rPr>
        <w:footnoteRef/>
      </w:r>
      <w:r>
        <w:t xml:space="preserve"> </w:t>
      </w:r>
      <w:r>
        <w:rPr>
          <w:i/>
        </w:rPr>
        <w:t xml:space="preserve">The Jerusalem Report</w:t>
      </w:r>
      <w:r>
        <w:t xml:space="preserve"> 30, no. 13 (Tamuz 5, 5779/July 8, 2019): 22.</w:t>
      </w:r>
    </w:p>
  </w:footnote>
  <w:footnote w:id="21922">
    <w:p>
      <w:pPr>
        <w:pStyle w:val="rFootn"/>
      </w:pPr>
      <w:r>
        <w:rPr>
          <w:rStyle w:val="rFootnRef"/>
        </w:rPr>
        <w:footnoteRef/>
      </w:r>
      <w:r>
        <w:t xml:space="preserve"> Keil and Delitzsch, </w:t>
      </w:r>
      <w:r>
        <w:rPr>
          <w:i/>
        </w:rPr>
        <w:t xml:space="preserve">Commentary on the Old Testament</w:t>
      </w:r>
      <w:r>
        <w:t xml:space="preserve">, 8:206-207.</w:t>
      </w:r>
    </w:p>
  </w:footnote>
  <w:footnote w:id="31077">
    <w:p>
      <w:pPr>
        <w:pStyle w:val="rFootn"/>
      </w:pPr>
      <w:r>
        <w:rPr>
          <w:rStyle w:val="rFootnRef"/>
        </w:rPr>
        <w:footnoteRef/>
      </w:r>
      <w:r>
        <w:t xml:space="preserve"> Bullinger, </w:t>
      </w:r>
      <w:r>
        <w:rPr>
          <w:i/>
        </w:rPr>
        <w:t xml:space="preserve">Figures of Speech Used in the Bible</w:t>
      </w:r>
      <w:r>
        <w:t xml:space="preserve">, 286-293, “antanaclasis.”</w:t>
      </w:r>
    </w:p>
  </w:footnote>
  <w:footnote w:id="15473">
    <w:p>
      <w:pPr>
        <w:pStyle w:val="rFootn"/>
      </w:pPr>
      <w:r>
        <w:rPr>
          <w:rStyle w:val="rFootnRef"/>
        </w:rPr>
        <w:footnoteRef/>
      </w:r>
      <w:r>
        <w:t xml:space="preserve"> Keil and Delitzsch, </w:t>
      </w:r>
      <w:r>
        <w:rPr>
          <w:i/>
        </w:rPr>
        <w:t xml:space="preserve">Commentary on the Old Testament: Jeremiah</w:t>
      </w:r>
      <w:r>
        <w:t xml:space="preserve">, 8:266.</w:t>
      </w:r>
    </w:p>
  </w:footnote>
  <w:footnote w:id="18286">
    <w:p>
      <w:pPr>
        <w:pStyle w:val="rFootn"/>
      </w:pPr>
      <w:r>
        <w:rPr>
          <w:rStyle w:val="rFootnRef"/>
        </w:rPr>
        <w:footnoteRef/>
      </w:r>
      <w:r>
        <w:t xml:space="preserve"> Albert Barnes, </w:t>
      </w:r>
      <w:r>
        <w:rPr>
          <w:i/>
        </w:rPr>
        <w:t xml:space="preserve">Barnes’ Notes</w:t>
      </w:r>
      <w:r>
        <w:t xml:space="preserve">, s.v. Jer. 30:21.</w:t>
      </w:r>
    </w:p>
  </w:footnote>
  <w:footnote w:id="19896">
    <w:p>
      <w:pPr>
        <w:pStyle w:val="rFootn"/>
      </w:pPr>
      <w:r>
        <w:rPr>
          <w:rStyle w:val="rFootnRef"/>
        </w:rPr>
        <w:footnoteRef/>
      </w:r>
      <w:r>
        <w:t xml:space="preserve"> Edersheim, </w:t>
      </w:r>
      <w:r>
        <w:rPr>
          <w:i/>
        </w:rPr>
        <w:t xml:space="preserve">Life and Times</w:t>
      </w:r>
      <w:r>
        <w:t xml:space="preserve">, 731, app. XVI, “List of Old Testament Passages Messianically Applied in Ancient Rabbinic Writings.”</w:t>
      </w:r>
    </w:p>
  </w:footnote>
  <w:footnote w:id="28346">
    <w:p>
      <w:pPr>
        <w:pStyle w:val="rFootn"/>
      </w:pPr>
      <w:r>
        <w:rPr>
          <w:rStyle w:val="rFootnRef"/>
        </w:rPr>
        <w:footnoteRef/>
      </w:r>
      <w:r>
        <w:t xml:space="preserve"> J. A. Thompson, </w:t>
      </w:r>
      <w:r>
        <w:rPr>
          <w:i/>
        </w:rPr>
        <w:t xml:space="preserve">The Book of Jeremiah</w:t>
      </w:r>
      <w:r>
        <w:t xml:space="preserve"> [NICOT], 538.</w:t>
      </w:r>
    </w:p>
  </w:footnote>
  <w:footnote w:id="18886">
    <w:p>
      <w:pPr>
        <w:pStyle w:val="rFootn"/>
      </w:pPr>
      <w:r>
        <w:rPr>
          <w:rStyle w:val="rFootnRef"/>
        </w:rPr>
        <w:footnoteRef/>
      </w:r>
      <w:r>
        <w:t xml:space="preserve"> Koehler and Baumgartner, </w:t>
      </w:r>
      <w:r>
        <w:rPr>
          <w:i/>
        </w:rPr>
        <w:t xml:space="preserve">Hebrew and Aramaic Lexicon</w:t>
      </w:r>
      <w:r>
        <w:t xml:space="preserve">.</w:t>
      </w:r>
    </w:p>
  </w:footnote>
  <w:footnote w:id="18133">
    <w:p>
      <w:pPr>
        <w:pStyle w:val="rFootn"/>
      </w:pPr>
      <w:r>
        <w:rPr>
          <w:rStyle w:val="rFootnRef"/>
        </w:rPr>
        <w:footnoteRef/>
      </w:r>
      <w:r>
        <w:t xml:space="preserve"> Arthur Reber, Rhianon Allen, Emily Reber, </w:t>
      </w:r>
      <w:r>
        <w:rPr>
          <w:i/>
        </w:rPr>
        <w:t xml:space="preserve">Penguin Dictionary of Psychology</w:t>
      </w:r>
      <w:r>
        <w:t xml:space="preserve">, s.v. “hatred,” 342.</w:t>
      </w:r>
    </w:p>
  </w:footnote>
  <w:footnote w:id="13479">
    <w:p>
      <w:pPr>
        <w:pStyle w:val="rFootn"/>
      </w:pPr>
      <w:r>
        <w:rPr>
          <w:rStyle w:val="rFootnRef"/>
        </w:rPr>
        <w:footnoteRef/>
      </w:r>
      <w:r>
        <w:t xml:space="preserve"> Also see John Goldingay, </w:t>
      </w:r>
      <w:r>
        <w:rPr>
          <w:i/>
        </w:rPr>
        <w:t xml:space="preserve">The Book of Jeremiah</w:t>
      </w:r>
      <w:r>
        <w:t xml:space="preserve"> [NICOT], 850-852.</w:t>
      </w:r>
    </w:p>
  </w:footnote>
  <w:footnote w:id="23315">
    <w:p>
      <w:pPr>
        <w:pStyle w:val="rFootn"/>
      </w:pPr>
      <w:r>
        <w:rPr>
          <w:rStyle w:val="rFootnRef"/>
        </w:rPr>
        <w:footnoteRef/>
      </w:r>
      <w:r>
        <w:t xml:space="preserve"> Koehler and Baumgartner, </w:t>
      </w:r>
      <w:r>
        <w:rPr>
          <w:i/>
        </w:rPr>
        <w:t xml:space="preserve">HALOT Hebrew and Aramaic Lexicon</w:t>
      </w:r>
      <w:r>
        <w:t xml:space="preserve">.</w:t>
      </w:r>
    </w:p>
  </w:footnote>
  <w:footnote w:id="10836">
    <w:p>
      <w:pPr>
        <w:pStyle w:val="rFootn"/>
      </w:pPr>
      <w:r>
        <w:rPr>
          <w:rStyle w:val="rFootnRef"/>
        </w:rPr>
        <w:footnoteRef/>
      </w:r>
      <w:r>
        <w:t xml:space="preserve"> John Goldingay, The Book of Jeremiah, NICOT, p. 892.</w:t>
      </w:r>
    </w:p>
  </w:footnote>
  <w:footnote w:id="23999">
    <w:p>
      <w:pPr>
        <w:pStyle w:val="rFootn"/>
      </w:pPr>
      <w:r>
        <w:rPr>
          <w:rStyle w:val="rFootnRef"/>
        </w:rPr>
        <w:footnoteRef/>
      </w:r>
      <w:r>
        <w:t xml:space="preserve"> John Goldingay, </w:t>
      </w:r>
      <w:r>
        <w:rPr>
          <w:i/>
        </w:rPr>
        <w:t xml:space="preserve">The Book of Jeremiah</w:t>
      </w:r>
      <w:r>
        <w:t xml:space="preserve"> [NICOT], 930-932.</w:t>
      </w:r>
    </w:p>
  </w:footnote>
  <w:footnote w:id="16707">
    <w:p>
      <w:pPr>
        <w:pStyle w:val="rFootn"/>
      </w:pPr>
      <w:r>
        <w:rPr>
          <w:rStyle w:val="rFootnRef"/>
        </w:rPr>
        <w:footnoteRef/>
      </w:r>
      <w:r>
        <w:t xml:space="preserve"> John Goldingay, </w:t>
      </w:r>
      <w:r>
        <w:rPr>
          <w:i/>
        </w:rPr>
        <w:t xml:space="preserve">The Book of Jeremiah</w:t>
      </w:r>
      <w:r>
        <w:t xml:space="preserve"> [NICOT], 933.</w:t>
      </w:r>
    </w:p>
  </w:footnote>
  <w:footnote w:id="31426">
    <w:p>
      <w:pPr>
        <w:pStyle w:val="rFootn"/>
      </w:pPr>
      <w:r>
        <w:rPr>
          <w:rStyle w:val="rFootnRef"/>
        </w:rPr>
        <w:footnoteRef/>
      </w:r>
      <w:r>
        <w:t xml:space="preserve"> Wikipedia, “Medes,” accessed June 6, 2023, https://en.wikipedia.org/wiki/Medes.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635031">
    <w:multiLevelType w:val="hybridMultilevel"/>
    <w:lvl w:ilvl="0" w:tplc="68505617">
      <w:start w:val="1"/>
      <w:numFmt w:val="decimal"/>
      <w:lvlText w:val="%1."/>
      <w:lvlJc w:val="left"/>
      <w:pPr>
        <w:ind w:left="720" w:hanging="360"/>
      </w:pPr>
    </w:lvl>
    <w:lvl w:ilvl="1" w:tplc="68505617" w:tentative="1">
      <w:start w:val="1"/>
      <w:numFmt w:val="lowerLetter"/>
      <w:lvlText w:val="%2."/>
      <w:lvlJc w:val="left"/>
      <w:pPr>
        <w:ind w:left="1440" w:hanging="360"/>
      </w:pPr>
    </w:lvl>
    <w:lvl w:ilvl="2" w:tplc="68505617" w:tentative="1">
      <w:start w:val="1"/>
      <w:numFmt w:val="lowerRoman"/>
      <w:lvlText w:val="%3."/>
      <w:lvlJc w:val="right"/>
      <w:pPr>
        <w:ind w:left="2160" w:hanging="180"/>
      </w:pPr>
    </w:lvl>
    <w:lvl w:ilvl="3" w:tplc="68505617" w:tentative="1">
      <w:start w:val="1"/>
      <w:numFmt w:val="decimal"/>
      <w:lvlText w:val="%4."/>
      <w:lvlJc w:val="left"/>
      <w:pPr>
        <w:ind w:left="2880" w:hanging="360"/>
      </w:pPr>
    </w:lvl>
    <w:lvl w:ilvl="4" w:tplc="68505617" w:tentative="1">
      <w:start w:val="1"/>
      <w:numFmt w:val="lowerLetter"/>
      <w:lvlText w:val="%5."/>
      <w:lvlJc w:val="left"/>
      <w:pPr>
        <w:ind w:left="3600" w:hanging="360"/>
      </w:pPr>
    </w:lvl>
    <w:lvl w:ilvl="5" w:tplc="68505617" w:tentative="1">
      <w:start w:val="1"/>
      <w:numFmt w:val="lowerRoman"/>
      <w:lvlText w:val="%6."/>
      <w:lvlJc w:val="right"/>
      <w:pPr>
        <w:ind w:left="4320" w:hanging="180"/>
      </w:pPr>
    </w:lvl>
    <w:lvl w:ilvl="6" w:tplc="68505617" w:tentative="1">
      <w:start w:val="1"/>
      <w:numFmt w:val="decimal"/>
      <w:lvlText w:val="%7."/>
      <w:lvlJc w:val="left"/>
      <w:pPr>
        <w:ind w:left="5040" w:hanging="360"/>
      </w:pPr>
    </w:lvl>
    <w:lvl w:ilvl="7" w:tplc="68505617" w:tentative="1">
      <w:start w:val="1"/>
      <w:numFmt w:val="lowerLetter"/>
      <w:lvlText w:val="%8."/>
      <w:lvlJc w:val="left"/>
      <w:pPr>
        <w:ind w:left="5760" w:hanging="360"/>
      </w:pPr>
    </w:lvl>
    <w:lvl w:ilvl="8" w:tplc="68505617" w:tentative="1">
      <w:start w:val="1"/>
      <w:numFmt w:val="lowerRoman"/>
      <w:lvlText w:val="%9."/>
      <w:lvlJc w:val="right"/>
      <w:pPr>
        <w:ind w:left="6480" w:hanging="180"/>
      </w:pPr>
    </w:lvl>
  </w:abstractNum>
  <w:abstractNum w:abstractNumId="10986">
    <w:multiLevelType w:val="hybridMultilevel"/>
    <w:lvl w:ilvl="0" w:tplc="557259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986">
    <w:abstractNumId w:val="10986"/>
  </w:num>
  <w:num w:numId="21635031">
    <w:abstractNumId w:val="216350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0374103" Type="http://schemas.openxmlformats.org/officeDocument/2006/relationships/numbering" Target="numbering.xml"/><Relationship Id="rId361487937" Type="http://schemas.openxmlformats.org/officeDocument/2006/relationships/comments" Target="comments.xml"/><Relationship Id="rId910867cdfa3edc1f4" Type="http://schemas.openxmlformats.org/officeDocument/2006/relationships/footer" Target="defaultFooter.xml"/><Relationship Id="rId341967cdfa3f65d44"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