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rFootnRef"/>
        </w:rPr>
        <w:footnoteReference w:id="18735"/>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rFootnRef"/>
        </w:rPr>
        <w:footnoteReference w:id="25027"/>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rFootnRef"/>
        </w:rPr>
        <w:footnoteReference w:id="30908"/>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rFootnRef"/>
        </w:rPr>
        <w:footnoteReference w:id="18283"/>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rFootnRef"/>
        </w:rPr>
        <w:footnoteReference w:id="17263"/>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rFootnRef"/>
        </w:rPr>
        <w:footnoteReference w:id="18951"/>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an exaggeration, but that misses the point. No native Hebrew speaker would understand </w:t>
      </w:r>
      <w:r>
        <w:rPr>
          <w:i/>
          <w:iCs/>
        </w:rPr>
        <w:t xml:space="preserve">olam</w:t>
      </w:r>
      <w:r>
        <w:rPr/>
        <w:t xml:space="preserve"> to mean “forever” and be a hyperbole, the definition of </w:t>
      </w:r>
      <w:r>
        <w:rPr>
          <w:i/>
          <w:iCs/>
        </w:rPr>
        <w:t xml:space="preserve">olam</w:t>
      </w:r>
      <w:r>
        <w:rPr/>
        <w:t xml:space="preserve"> was just a long undetermined amount of time, although in some contexts that undetermined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rFootnRef"/>
        </w:rPr>
        <w:footnoteReference w:id="27799"/>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rFootnRef"/>
        </w:rPr>
        <w:footnoteReference w:id="28865"/>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rFootnRef"/>
        </w:rPr>
        <w:footnoteReference w:id="20680"/>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rFootnRef"/>
        </w:rPr>
        <w:footnoteReference w:id="31322"/>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Word Study: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Word Study: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rFootnRef"/>
        </w:rPr>
        <w:footnoteReference w:id="13047"/>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rFootnRef"/>
        </w:rPr>
        <w:footnoteReference w:id="23690"/>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rFootnRef"/>
        </w:rPr>
        <w:footnoteReference w:id="25624"/>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rFootnRef"/>
        </w:rPr>
        <w:footnoteReference w:id="29349"/>
      </w:r>
      <w:r>
        <w:rPr/>
        <w:t xml:space="preserve"> and also in the third edition of the Oxford Bible Atlas</w:t>
      </w:r>
      <w:r>
        <w:rPr>
          <w:rStyle w:val="rFootnRef"/>
        </w:rPr>
        <w:footnoteReference w:id="23973"/>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come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 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Appendix 16: “Usages of ‘Soul.’”]</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rFootnRef"/>
        </w:rPr>
        <w:footnoteReference w:id="17435"/>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rFootnRef"/>
        </w:rPr>
        <w:footnoteReference w:id="16670"/>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rFootnRef"/>
        </w:rPr>
        <w:footnoteReference w:id="15525"/>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rFootnRef"/>
        </w:rPr>
        <w:footnoteReference w:id="20691"/>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rFootnRef"/>
        </w:rPr>
        <w:footnoteReference w:id="30912"/>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rFootnRef"/>
        </w:rPr>
        <w:footnoteReference w:id="23588"/>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Appendix 16: “Usages of ‘Soul.’”]</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161267cdfa340f58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153574"/>
      <w:docPartObj>
        <w:docPartGallery w:val="Page Numbers (Bottom of Page)"/>
        <w:docPartUnique/>
      </w:docPartObj>
    </w:sdtPr>
    <w:sdtContent>
      <w:sdt>
        <w:sdtPr>
          <w:id w:val="5929100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735">
    <w:p>
      <w:pPr>
        <w:pStyle w:val="rFootn"/>
      </w:pPr>
      <w:r>
        <w:rPr>
          <w:rStyle w:val="rFootnRef"/>
        </w:rPr>
        <w:footnoteRef/>
      </w:r>
      <w:r>
        <w:t xml:space="preserve"> See W. Schlegel, </w:t>
      </w:r>
      <w:r>
        <w:rPr>
          <w:i/>
        </w:rPr>
        <w:t xml:space="preserve">Satellite Bible Atlas</w:t>
      </w:r>
      <w:r>
        <w:t xml:space="preserve">, 37.</w:t>
      </w:r>
    </w:p>
  </w:footnote>
  <w:footnote w:id="2502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30908">
    <w:p>
      <w:pPr>
        <w:pStyle w:val="rFootn"/>
      </w:pPr>
      <w:r>
        <w:rPr>
          <w:rStyle w:val="rFootnRef"/>
        </w:rPr>
        <w:footnoteRef/>
      </w:r>
      <w:r>
        <w:t xml:space="preserve"> Keil &amp;amp; Delitzsch, </w:t>
      </w:r>
      <w:r>
        <w:rPr>
          <w:i/>
        </w:rPr>
        <w:t xml:space="preserve">Commentary on the Old Testament: Joshua, Judges, Ruth</w:t>
      </w:r>
      <w:r>
        <w:t xml:space="preserve">, 41.</w:t>
      </w:r>
    </w:p>
  </w:footnote>
  <w:footnote w:id="18283">
    <w:p>
      <w:pPr>
        <w:pStyle w:val="rFootn"/>
      </w:pPr>
      <w:r>
        <w:rPr>
          <w:rStyle w:val="rFootnRef"/>
        </w:rPr>
        <w:footnoteRef/>
      </w:r>
      <w:r>
        <w:t xml:space="preserve"> Everett Fox, </w:t>
      </w:r>
      <w:r>
        <w:rPr>
          <w:i/>
        </w:rPr>
        <w:t xml:space="preserve">The Schocken Bible</w:t>
      </w:r>
      <w:r>
        <w:t xml:space="preserve">.</w:t>
      </w:r>
    </w:p>
  </w:footnote>
  <w:footnote w:id="17263">
    <w:p>
      <w:pPr>
        <w:pStyle w:val="rFootn"/>
      </w:pPr>
      <w:r>
        <w:rPr>
          <w:rStyle w:val="rFootnRef"/>
        </w:rPr>
        <w:footnoteRef/>
      </w:r>
      <w:r>
        <w:t xml:space="preserve"> Everett Fox, </w:t>
      </w:r>
      <w:r>
        <w:rPr>
          <w:i/>
        </w:rPr>
        <w:t xml:space="preserve">The Schocken Bible</w:t>
      </w:r>
      <w:r>
        <w:t xml:space="preserve">.</w:t>
      </w:r>
    </w:p>
  </w:footnote>
  <w:footnote w:id="18951">
    <w:p>
      <w:pPr>
        <w:pStyle w:val="rFootn"/>
      </w:pPr>
      <w:r>
        <w:rPr>
          <w:rStyle w:val="rFootnRef"/>
        </w:rPr>
        <w:footnoteRef/>
      </w:r>
      <w:r>
        <w:t xml:space="preserve"> C. H. Dodd, </w:t>
      </w:r>
      <w:r>
        <w:rPr>
          <w:i/>
        </w:rPr>
        <w:t xml:space="preserve">The Interpretation of the Fourth Gospel</w:t>
      </w:r>
      <w:r>
        <w:t xml:space="preserve">, 144.</w:t>
      </w:r>
    </w:p>
  </w:footnote>
  <w:footnote w:id="27799">
    <w:p>
      <w:pPr>
        <w:pStyle w:val="rFootn"/>
      </w:pPr>
      <w:r>
        <w:rPr>
          <w:rStyle w:val="rFootnRef"/>
        </w:rPr>
        <w:footnoteRef/>
      </w:r>
      <w:r>
        <w:t xml:space="preserve"> </w:t>
      </w:r>
      <w:r>
        <w:rPr>
          <w:i/>
        </w:rPr>
        <w:t xml:space="preserve">Brown-Driver-Briggs Hebrew and English Lexicon</w:t>
      </w:r>
      <w:r>
        <w:t xml:space="preserve">, s.v. “עוֹלָם.”</w:t>
      </w:r>
    </w:p>
  </w:footnote>
  <w:footnote w:id="28865">
    <w:p>
      <w:pPr>
        <w:pStyle w:val="rFootn"/>
      </w:pPr>
      <w:r>
        <w:rPr>
          <w:rStyle w:val="rFootnRef"/>
        </w:rPr>
        <w:footnoteRef/>
      </w:r>
      <w:r>
        <w:t xml:space="preserve"> Koehler and Baumgartner, </w:t>
      </w:r>
      <w:r>
        <w:rPr>
          <w:i/>
        </w:rPr>
        <w:t xml:space="preserve"> Hebrew and Aramaic Lexicon</w:t>
      </w:r>
      <w:r>
        <w:t xml:space="preserve">.</w:t>
      </w:r>
    </w:p>
  </w:footnote>
  <w:footnote w:id="20680">
    <w:p>
      <w:pPr>
        <w:pStyle w:val="rFootn"/>
      </w:pPr>
      <w:r>
        <w:rPr>
          <w:rStyle w:val="rFootnRef"/>
        </w:rPr>
        <w:footnoteRef/>
      </w:r>
      <w:r>
        <w:t xml:space="preserve"> Cf. David Howard, </w:t>
      </w:r>
      <w:r>
        <w:rPr>
          <w:i/>
        </w:rPr>
        <w:t xml:space="preserve">Joshua</w:t>
      </w:r>
      <w:r>
        <w:t xml:space="preserve"> [NAC].</w:t>
      </w:r>
    </w:p>
  </w:footnote>
  <w:footnote w:id="31322">
    <w:p>
      <w:pPr>
        <w:pStyle w:val="rFootn"/>
      </w:pPr>
      <w:r>
        <w:rPr>
          <w:rStyle w:val="rFootnRef"/>
        </w:rPr>
        <w:footnoteRef/>
      </w:r>
      <w:r>
        <w:t xml:space="preserve"> Trent Butler, </w:t>
      </w:r>
      <w:r>
        <w:rPr>
          <w:i/>
        </w:rPr>
        <w:t xml:space="preserve">Joshua 1-12</w:t>
      </w:r>
      <w:r>
        <w:t xml:space="preserve"> [WBC].</w:t>
      </w:r>
    </w:p>
  </w:footnote>
  <w:footnote w:id="13047">
    <w:p>
      <w:pPr>
        <w:pStyle w:val="rFootn"/>
      </w:pPr>
      <w:r>
        <w:rPr>
          <w:rStyle w:val="rFootnRef"/>
        </w:rPr>
        <w:footnoteRef/>
      </w:r>
      <w:r>
        <w:t xml:space="preserve"> Bullinger, </w:t>
      </w:r>
      <w:r>
        <w:rPr>
          <w:i/>
        </w:rPr>
        <w:t xml:space="preserve">Figures of Speech Used in the Bible</w:t>
      </w:r>
      <w:r>
        <w:t xml:space="preserve">, 405, “pleonasm.”</w:t>
      </w:r>
    </w:p>
  </w:footnote>
  <w:footnote w:id="23690">
    <w:p>
      <w:pPr>
        <w:pStyle w:val="rFootn"/>
      </w:pPr>
      <w:r>
        <w:rPr>
          <w:rStyle w:val="rFootnRef"/>
        </w:rPr>
        <w:footnoteRef/>
      </w:r>
      <w:r>
        <w:t xml:space="preserve"> Everett Fox, </w:t>
      </w:r>
      <w:r>
        <w:rPr>
          <w:i/>
        </w:rPr>
        <w:t xml:space="preserve">The Schocken Bible</w:t>
      </w:r>
      <w:r>
        <w:t xml:space="preserve">.</w:t>
      </w:r>
    </w:p>
  </w:footnote>
  <w:footnote w:id="25624">
    <w:p>
      <w:pPr>
        <w:pStyle w:val="rFootn"/>
      </w:pPr>
      <w:r>
        <w:rPr>
          <w:rStyle w:val="rFootnRef"/>
        </w:rPr>
        <w:footnoteRef/>
      </w:r>
      <w:r>
        <w:t xml:space="preserve"> Keil and Delitzsch, </w:t>
      </w:r>
      <w:r>
        <w:rPr>
          <w:i/>
        </w:rPr>
        <w:t xml:space="preserve">Commentary on the Old Testament: Joshua, Judges, Ruth</w:t>
      </w:r>
      <w:r>
        <w:t xml:space="preserve">, 89.</w:t>
      </w:r>
    </w:p>
  </w:footnote>
  <w:footnote w:id="29349">
    <w:p>
      <w:pPr>
        <w:pStyle w:val="rFootn"/>
      </w:pPr>
      <w:r>
        <w:rPr>
          <w:rStyle w:val="rFootnRef"/>
        </w:rPr>
        <w:footnoteRef/>
      </w:r>
      <w:r>
        <w:t xml:space="preserve"> William Schlegel, </w:t>
      </w:r>
      <w:r>
        <w:rPr>
          <w:i/>
        </w:rPr>
        <w:t xml:space="preserve">The Satellite Bible Atlas</w:t>
      </w:r>
      <w:r>
        <w:t xml:space="preserve">, Map 1-10 and 11.</w:t>
      </w:r>
    </w:p>
  </w:footnote>
  <w:footnote w:id="23973">
    <w:p>
      <w:pPr>
        <w:pStyle w:val="rFootn"/>
      </w:pPr>
      <w:r>
        <w:rPr>
          <w:rStyle w:val="rFootnRef"/>
        </w:rPr>
        <w:footnoteRef/>
      </w:r>
      <w:r>
        <w:t xml:space="preserve"> Herbert May, </w:t>
      </w:r>
      <w:r>
        <w:rPr>
          <w:i/>
        </w:rPr>
        <w:t xml:space="preserve">Oxford Bible Atlas</w:t>
      </w:r>
      <w:r>
        <w:t xml:space="preserve">, 49. (The names of the valleys appear in the 1st, 2nd, and 3rd editions of the Oxford Bible Atlas, but not in the 4th edition, edited by Adrian Curtis).</w:t>
      </w:r>
    </w:p>
  </w:footnote>
  <w:footnote w:id="17435">
    <w:p>
      <w:pPr>
        <w:pStyle w:val="rFootn"/>
      </w:pPr>
      <w:r>
        <w:rPr>
          <w:rStyle w:val="rFootnRef"/>
        </w:rPr>
        <w:footnoteRef/>
      </w:r>
      <w:r>
        <w:t xml:space="preserve"> Cf. Freedman, </w:t>
      </w:r>
      <w:r>
        <w:rPr>
          <w:i/>
        </w:rPr>
        <w:t xml:space="preserve">Anchor Yale Bible Dictionary</w:t>
      </w:r>
      <w:r>
        <w:t xml:space="preserve">, s.v. “Avvim”</w:t>
      </w:r>
    </w:p>
  </w:footnote>
  <w:footnote w:id="16670">
    <w:p>
      <w:pPr>
        <w:pStyle w:val="rFootn"/>
      </w:pPr>
      <w:r>
        <w:rPr>
          <w:rStyle w:val="rFootnRef"/>
        </w:rPr>
        <w:footnoteRef/>
      </w:r>
      <w:r>
        <w:t xml:space="preserve"> Marten Woudstra, </w:t>
      </w:r>
      <w:r>
        <w:rPr>
          <w:i/>
        </w:rPr>
        <w:t xml:space="preserve">The Book of Joshua</w:t>
      </w:r>
      <w:r>
        <w:t xml:space="preserve"> [NICOT], 229.</w:t>
      </w:r>
    </w:p>
  </w:footnote>
  <w:footnote w:id="15525">
    <w:p>
      <w:pPr>
        <w:pStyle w:val="rFootn"/>
      </w:pPr>
      <w:r>
        <w:rPr>
          <w:rStyle w:val="rFootnRef"/>
        </w:rPr>
        <w:footnoteRef/>
      </w:r>
      <w:r>
        <w:t xml:space="preserve"> Everett Fox, </w:t>
      </w:r>
      <w:r>
        <w:rPr>
          <w:i/>
        </w:rPr>
        <w:t xml:space="preserve">The Schocken Bible</w:t>
      </w:r>
      <w:r>
        <w:t xml:space="preserve">.</w:t>
      </w:r>
    </w:p>
  </w:footnote>
  <w:footnote w:id="20691">
    <w:p>
      <w:pPr>
        <w:pStyle w:val="rFootn"/>
      </w:pPr>
      <w:r>
        <w:rPr>
          <w:rStyle w:val="rFootnRef"/>
        </w:rPr>
        <w:footnoteRef/>
      </w:r>
      <w:r>
        <w:t xml:space="preserve"> Everett Fox, </w:t>
      </w:r>
      <w:r>
        <w:rPr>
          <w:i/>
        </w:rPr>
        <w:t xml:space="preserve">The Schocken Bible</w:t>
      </w:r>
      <w:r>
        <w:t xml:space="preserve">.</w:t>
      </w:r>
    </w:p>
  </w:footnote>
  <w:footnote w:id="30912">
    <w:p>
      <w:pPr>
        <w:pStyle w:val="rFootn"/>
      </w:pPr>
      <w:r>
        <w:rPr>
          <w:rStyle w:val="rFootnRef"/>
        </w:rPr>
        <w:footnoteRef/>
      </w:r>
      <w:r>
        <w:t xml:space="preserve"> Everett Fox, </w:t>
      </w:r>
      <w:r>
        <w:rPr>
          <w:i/>
        </w:rPr>
        <w:t xml:space="preserve">The Schocken Bible</w:t>
      </w:r>
      <w:r>
        <w:t xml:space="preserve">.</w:t>
      </w:r>
    </w:p>
  </w:footnote>
  <w:footnote w:id="23588">
    <w:p>
      <w:pPr>
        <w:pStyle w:val="rFootn"/>
      </w:pPr>
      <w:r>
        <w:rPr>
          <w:rStyle w:val="rFootnRef"/>
        </w:rPr>
        <w:footnoteRef/>
      </w:r>
      <w:r>
        <w:t xml:space="preserve"> David Howard, </w:t>
      </w:r>
      <w:r>
        <w:rPr>
          <w:i/>
        </w:rPr>
        <w:t xml:space="preserve">Joshua</w:t>
      </w:r>
      <w:r>
        <w:t xml:space="preserve"> [NAC].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595484">
    <w:multiLevelType w:val="hybridMultilevel"/>
    <w:lvl w:ilvl="0" w:tplc="70969673">
      <w:start w:val="1"/>
      <w:numFmt w:val="decimal"/>
      <w:lvlText w:val="%1."/>
      <w:lvlJc w:val="left"/>
      <w:pPr>
        <w:ind w:left="720" w:hanging="360"/>
      </w:pPr>
    </w:lvl>
    <w:lvl w:ilvl="1" w:tplc="70969673" w:tentative="1">
      <w:start w:val="1"/>
      <w:numFmt w:val="lowerLetter"/>
      <w:lvlText w:val="%2."/>
      <w:lvlJc w:val="left"/>
      <w:pPr>
        <w:ind w:left="1440" w:hanging="360"/>
      </w:pPr>
    </w:lvl>
    <w:lvl w:ilvl="2" w:tplc="70969673" w:tentative="1">
      <w:start w:val="1"/>
      <w:numFmt w:val="lowerRoman"/>
      <w:lvlText w:val="%3."/>
      <w:lvlJc w:val="right"/>
      <w:pPr>
        <w:ind w:left="2160" w:hanging="180"/>
      </w:pPr>
    </w:lvl>
    <w:lvl w:ilvl="3" w:tplc="70969673" w:tentative="1">
      <w:start w:val="1"/>
      <w:numFmt w:val="decimal"/>
      <w:lvlText w:val="%4."/>
      <w:lvlJc w:val="left"/>
      <w:pPr>
        <w:ind w:left="2880" w:hanging="360"/>
      </w:pPr>
    </w:lvl>
    <w:lvl w:ilvl="4" w:tplc="70969673" w:tentative="1">
      <w:start w:val="1"/>
      <w:numFmt w:val="lowerLetter"/>
      <w:lvlText w:val="%5."/>
      <w:lvlJc w:val="left"/>
      <w:pPr>
        <w:ind w:left="3600" w:hanging="360"/>
      </w:pPr>
    </w:lvl>
    <w:lvl w:ilvl="5" w:tplc="70969673" w:tentative="1">
      <w:start w:val="1"/>
      <w:numFmt w:val="lowerRoman"/>
      <w:lvlText w:val="%6."/>
      <w:lvlJc w:val="right"/>
      <w:pPr>
        <w:ind w:left="4320" w:hanging="180"/>
      </w:pPr>
    </w:lvl>
    <w:lvl w:ilvl="6" w:tplc="70969673" w:tentative="1">
      <w:start w:val="1"/>
      <w:numFmt w:val="decimal"/>
      <w:lvlText w:val="%7."/>
      <w:lvlJc w:val="left"/>
      <w:pPr>
        <w:ind w:left="5040" w:hanging="360"/>
      </w:pPr>
    </w:lvl>
    <w:lvl w:ilvl="7" w:tplc="70969673" w:tentative="1">
      <w:start w:val="1"/>
      <w:numFmt w:val="lowerLetter"/>
      <w:lvlText w:val="%8."/>
      <w:lvlJc w:val="left"/>
      <w:pPr>
        <w:ind w:left="5760" w:hanging="360"/>
      </w:pPr>
    </w:lvl>
    <w:lvl w:ilvl="8" w:tplc="70969673" w:tentative="1">
      <w:start w:val="1"/>
      <w:numFmt w:val="lowerRoman"/>
      <w:lvlText w:val="%9."/>
      <w:lvlJc w:val="right"/>
      <w:pPr>
        <w:ind w:left="6480" w:hanging="180"/>
      </w:pPr>
    </w:lvl>
  </w:abstractNum>
  <w:abstractNum w:abstractNumId="10481">
    <w:multiLevelType w:val="hybridMultilevel"/>
    <w:lvl w:ilvl="0" w:tplc="158704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81">
    <w:abstractNumId w:val="10481"/>
  </w:num>
  <w:num w:numId="41595484">
    <w:abstractNumId w:val="4159548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87703413" Type="http://schemas.openxmlformats.org/officeDocument/2006/relationships/numbering" Target="numbering.xml"/><Relationship Id="rId718727975" Type="http://schemas.openxmlformats.org/officeDocument/2006/relationships/comments" Target="comments.xml"/><Relationship Id="rId161267cdfa340f58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