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rFootnRef"/>
        </w:rPr>
        <w:footnoteReference w:id="31763"/>
      </w:r>
      <w:r>
        <w:rPr/>
        <w:t xml:space="preserve"> and, </w:t>
      </w:r>
      <w:r>
        <w:rPr>
          <w:rStyle w:val="rOTQuote"/>
        </w:rPr>
        <w:t xml:space="preserve">Let another take his place of leadership</w:t>
      </w:r>
      <w:r>
        <w:rPr/>
        <w:t xml:space="preserve">.</w:t>
      </w:r>
      <w:r>
        <w:rPr>
          <w:rStyle w:val="rFootnRef"/>
        </w:rPr>
        <w:footnoteReference w:id="27981"/>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Aren’t all of these people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rFootnRef"/>
        </w:rPr>
        <w:footnoteReference w:id="24173"/>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rFootnRef"/>
        </w:rPr>
        <w:footnoteReference w:id="27547"/>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birth pains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rFootnRef"/>
        </w:rPr>
        <w:footnoteReference w:id="29818"/>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rFootnRef"/>
        </w:rPr>
        <w:footnoteReference w:id="30545"/>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rFootnRef"/>
        </w:rPr>
        <w:footnoteReference w:id="12559"/>
      </w:r>
      <w:r>
        <w:rPr/>
        <w:t xml:space="preserve"> </w:t>
      </w:r>
      <w:r>
        <w:rPr>
          <w:rStyle w:val="rOTQuote"/>
        </w:rPr>
        <w:t xml:space="preserve">that he was not abandoned to the grave, nor did his flesh see corruption</w:t>
      </w:r>
      <w:r>
        <w:rPr/>
        <w:t xml:space="preserve">.</w:t>
      </w:r>
      <w:r>
        <w:rPr>
          <w:rStyle w:val="rFootnRef"/>
        </w:rPr>
        <w:footnoteReference w:id="21906"/>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rFootnRef"/>
        </w:rPr>
        <w:footnoteReference w:id="19591"/>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rFootnRef"/>
        </w:rPr>
        <w:footnoteReference w:id="14187"/>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rFootnRef"/>
        </w:rPr>
        <w:footnoteReference w:id="14614"/>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 that his Christ would suffer, 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rFootnRef"/>
        </w:rPr>
        <w:footnoteReference w:id="22073"/>
      </w:r>
      <w:r>
        <w:rPr/>
        <w:t xml:space="preserve"> will be utterly destroyed from among the People.</w:t>
      </w:r>
      <w:r>
        <w:rPr>
          <w:rStyle w:val="rFootnRef"/>
        </w:rPr>
        <w:footnoteReference w:id="32724"/>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through your seed all the families of the earth will be blessed</w:t>
      </w:r>
      <w:r>
        <w:rPr/>
        <w:t xml:space="preserve">.</w:t>
      </w:r>
      <w:r>
        <w:rPr>
          <w:rStyle w:val="rFootnRef"/>
        </w:rPr>
        <w:footnoteReference w:id="24769"/>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rFootnRef"/>
        </w:rPr>
        <w:footnoteReference w:id="16682"/>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rFootnRef"/>
        </w:rPr>
        <w:footnoteReference w:id="29200"/>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rFootnRef"/>
        </w:rPr>
        <w:footnoteReference w:id="25491"/>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rFootnRef"/>
        </w:rPr>
        <w:footnoteReference w:id="11663"/>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rFootnRef"/>
        </w:rPr>
        <w:footnoteReference w:id="31012"/>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rFootnRef"/>
        </w:rPr>
        <w:footnoteReference w:id="18171"/>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rFootnRef"/>
        </w:rPr>
        <w:footnoteReference w:id="26247"/>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rFootnRef"/>
        </w:rPr>
        <w:footnoteReference w:id="13926"/>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Hellenistic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rFootnRef"/>
        </w:rPr>
        <w:footnoteReference w:id="28953"/>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rFootnRef"/>
        </w:rPr>
        <w:footnoteReference w:id="18053"/>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rFootnRef"/>
        </w:rPr>
        <w:footnoteReference w:id="12258"/>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rFootnRef"/>
        </w:rPr>
        <w:footnoteReference w:id="13856"/>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rFootnRef"/>
        </w:rPr>
        <w:footnoteReference w:id="30553"/>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rFootnRef"/>
        </w:rPr>
        <w:footnoteReference w:id="30616"/>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rFootnRef"/>
        </w:rPr>
        <w:footnoteReference w:id="29640"/>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rFootnRef"/>
        </w:rPr>
        <w:footnoteReference w:id="17013"/>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rFootnRef"/>
        </w:rPr>
        <w:footnoteReference w:id="30394"/>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rFootnRef"/>
        </w:rPr>
        <w:footnoteReference w:id="29711"/>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rFootnRef"/>
        </w:rPr>
        <w:footnoteReference w:id="19337"/>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rFootnRef"/>
        </w:rPr>
        <w:footnoteReference w:id="22879"/>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rFootnRef"/>
        </w:rPr>
        <w:footnoteReference w:id="12628"/>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i/>
          <w:iCs/>
        </w:rPr>
        <w:t xml:space="preserve">into manifestation</w:t>
      </w:r>
      <w:r>
        <w:rPr/>
        <w:t xml:space="preserve">,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 </w:t>
      </w:r>
      <w:r>
        <w:rPr>
          <w:i/>
          <w:iCs/>
        </w:rPr>
        <w:t xml:space="preserve">into manifestation</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i/>
          <w:iCs/>
        </w:rPr>
        <w:t xml:space="preserve">into manifestation</w:t>
      </w:r>
      <w:r>
        <w:rPr/>
        <w:t xml:space="preserve">.”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rFootnRef"/>
        </w:rPr>
        <w:footnoteReference w:id="28036"/>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rFootnRef"/>
        </w:rPr>
        <w:footnoteReference w:id="18179"/>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rFootnRef"/>
        </w:rPr>
        <w:footnoteReference w:id="15736"/>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rFootnRef"/>
        </w:rPr>
        <w:footnoteReference w:id="30047"/>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w:t>
      </w:r>
      <w:r>
        <w:rPr>
          <w:i/>
          <w:iCs/>
        </w:rPr>
        <w:t xml:space="preserve">Jews</w:t>
      </w:r>
      <w:r>
        <w:rPr/>
        <w:t xml:space="preserve">,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rFootnRef"/>
        </w:rPr>
        <w:footnoteReference w:id="32501"/>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rFootnRef"/>
        </w:rPr>
        <w:footnoteReference w:id="15448"/>
      </w:r>
      <w:r>
        <w:rPr/>
        <w:t xml:space="preserve"> and implored God continually. </w:t>
      </w:r>
      <w:r>
        <w:rPr>
          <w:rStyle w:val="rSupStyle"/>
          <w:vertAlign w:val="superscript"/>
        </w:rPr>
        <w:t xml:space="preserve">3</w:t>
      </w:r>
      <w:r>
        <w:rPr/>
        <w:t xml:space="preserve">About the ninth hour of the day</w:t>
      </w:r>
      <w:r>
        <w:rPr>
          <w:rStyle w:val="rFootnRef"/>
        </w:rPr>
        <w:footnoteReference w:id="23330"/>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rFootnRef"/>
        </w:rPr>
        <w:footnoteReference w:id="17969"/>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rFootnRef"/>
        </w:rPr>
        <w:footnoteReference w:id="11236"/>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rFootnRef"/>
        </w:rPr>
        <w:footnoteReference w:id="19844"/>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rFootnRef"/>
        </w:rPr>
        <w:footnoteReference w:id="26403"/>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rFootnRef"/>
        </w:rPr>
        <w:footnoteReference w:id="16081"/>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rFootnRef"/>
        </w:rPr>
        <w:footnoteReference w:id="23786"/>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rFootnRef"/>
        </w:rPr>
        <w:footnoteReference w:id="14472"/>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rFootnRef"/>
        </w:rPr>
        <w:footnoteReference w:id="27646"/>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rFootnRef"/>
        </w:rPr>
        <w:footnoteReference w:id="31796"/>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rFootnRef"/>
        </w:rPr>
        <w:footnoteReference w:id="13216"/>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rFootnRef"/>
        </w:rPr>
        <w:footnoteReference w:id="14813"/>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rFootnRef"/>
        </w:rPr>
        <w:footnoteReference w:id="15369"/>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rFootnRef"/>
        </w:rPr>
        <w:footnoteReference w:id="24186"/>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rFootnRef"/>
        </w:rPr>
        <w:footnoteReference w:id="27244"/>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rFootnRef"/>
        </w:rPr>
        <w:footnoteReference w:id="18638"/>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rFootnRef"/>
        </w:rPr>
        <w:footnoteReference w:id="27408"/>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rFootnRef"/>
        </w:rPr>
        <w:footnoteReference w:id="10126"/>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rFootnRef"/>
        </w:rPr>
        <w:footnoteReference w:id="21132"/>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w:t>
      </w:r>
      <w:r>
        <w:rPr>
          <w:rStyle w:val="rFootnRef"/>
        </w:rPr>
        <w:footnoteReference w:id="25673"/>
      </w:r>
      <w:r>
        <w:rPr/>
        <w:t xml:space="preserv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rFootnRef"/>
        </w:rPr>
        <w:footnoteReference w:id="15185"/>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rFootnRef"/>
        </w:rPr>
        <w:footnoteReference w:id="21391"/>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rFootnRef"/>
        </w:rPr>
        <w:footnoteReference w:id="26824"/>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rFootnRef"/>
        </w:rPr>
        <w:footnoteReference w:id="10226"/>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rFootnRef"/>
        </w:rPr>
        <w:footnoteReference w:id="21170"/>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rFootnRef"/>
        </w:rPr>
        <w:footnoteReference w:id="12312"/>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rFootnRef"/>
        </w:rPr>
        <w:footnoteReference w:id="30395"/>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rFootnRef"/>
        </w:rPr>
        <w:footnoteReference w:id="20775"/>
      </w:r>
      <w:r>
        <w:rPr/>
        <w:t xml:space="preserve"> he left them there. Now he himself went into the synagogue and reasoned with the Jews. </w:t>
      </w:r>
      <w:r>
        <w:rPr>
          <w:rStyle w:val="rSupStyle"/>
          <w:vertAlign w:val="superscript"/>
        </w:rPr>
        <w:t xml:space="preserve">20</w:t>
      </w:r>
      <w:r>
        <w:rPr/>
        <w:t xml:space="preserve">And when they asked him to stay a longer time, he did not consent, </w:t>
      </w:r>
      <w:r>
        <w:rPr>
          <w:rStyle w:val="rSupStyle"/>
          <w:vertAlign w:val="superscript"/>
        </w:rPr>
        <w:t xml:space="preserve">21</w:t>
      </w:r>
      <w:r>
        <w:rPr/>
        <w:t xml:space="preserve">but having said goodbye to them and having said,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rFootnRef"/>
        </w:rPr>
        <w:footnoteReference w:id="26884"/>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rFootnRef"/>
        </w:rPr>
        <w:footnoteReference w:id="25714"/>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rFootnRef"/>
        </w:rPr>
        <w:footnoteReference w:id="14349"/>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rFootnRef"/>
        </w:rPr>
        <w:footnoteReference w:id="11725"/>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of repentance toward God and trust toward our Lord Jesus Christ.</w:t>
      </w:r>
      <w:r>
        <w:rPr>
          <w:rStyle w:val="rFootnRef"/>
        </w:rPr>
        <w:footnoteReference w:id="30165"/>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rFootnRef"/>
        </w:rPr>
        <w:footnoteReference w:id="32460"/>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sobbing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rFootnRef"/>
        </w:rPr>
        <w:footnoteReference w:id="13177"/>
      </w:r>
      <w:r>
        <w:rPr/>
        <w:t xml:space="preserve"> and the law, and this Place.</w:t>
      </w:r>
      <w:r>
        <w:rPr>
          <w:rStyle w:val="rFootnRef"/>
        </w:rPr>
        <w:footnoteReference w:id="19107"/>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rFootnRef"/>
        </w:rPr>
        <w:footnoteReference w:id="1104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rFootnRef"/>
        </w:rPr>
        <w:footnoteReference w:id="12481"/>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rFootnRef"/>
        </w:rPr>
        <w:footnoteReference w:id="25665"/>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rFootnRef"/>
        </w:rPr>
        <w:footnoteReference w:id="32122"/>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rFootnRef"/>
        </w:rPr>
        <w:footnoteReference w:id="13252"/>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rFootnRef"/>
        </w:rPr>
        <w:footnoteReference w:id="13391"/>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rFootnRef"/>
        </w:rPr>
        <w:footnoteReference w:id="11959"/>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rFootnRef"/>
        </w:rPr>
        <w:footnoteReference w:id="13339"/>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rFootnRef"/>
        </w:rPr>
        <w:footnoteReference w:id="21012"/>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rFootnRef"/>
        </w:rPr>
        <w:footnoteReference w:id="26627"/>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121467cdfa45ed2b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839109"/>
      <w:docPartObj>
        <w:docPartGallery w:val="Page Numbers (Bottom of Page)"/>
        <w:docPartUnique/>
      </w:docPartObj>
    </w:sdtPr>
    <w:sdtContent>
      <w:sdt>
        <w:sdtPr>
          <w:id w:val="9343493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763">
    <w:p>
      <w:pPr>
        <w:pStyle w:val="rFootn"/>
      </w:pPr>
      <w:r>
        <w:rPr>
          <w:rStyle w:val="rFootnRef"/>
        </w:rPr>
        <w:footnoteRef/>
      </w:r>
      <w:r>
        <w:t xml:space="preserve"> From Ps. 69:25</w:t>
      </w:r>
    </w:p>
  </w:footnote>
  <w:footnote w:id="27981">
    <w:p>
      <w:pPr>
        <w:pStyle w:val="rFootn"/>
      </w:pPr>
      <w:r>
        <w:rPr>
          <w:rStyle w:val="rFootnRef"/>
        </w:rPr>
        <w:footnoteRef/>
      </w:r>
      <w:r>
        <w:t xml:space="preserve"> From Ps. 109:8</w:t>
      </w:r>
    </w:p>
  </w:footnote>
  <w:footnote w:id="24173">
    <w:p>
      <w:pPr>
        <w:pStyle w:val="rFootn"/>
      </w:pPr>
      <w:r>
        <w:rPr>
          <w:rStyle w:val="rFootnRef"/>
        </w:rPr>
        <w:footnoteRef/>
      </w:r>
      <w:r>
        <w:t xml:space="preserve"> About 9:00 a.m.</w:t>
      </w:r>
    </w:p>
  </w:footnote>
  <w:footnote w:id="27547">
    <w:p>
      <w:pPr>
        <w:pStyle w:val="rFootn"/>
      </w:pPr>
      <w:r>
        <w:rPr>
          <w:rStyle w:val="rFootnRef"/>
        </w:rPr>
        <w:footnoteRef/>
      </w:r>
      <w:r>
        <w:t xml:space="preserve"> From Joel 2:28-32</w:t>
      </w:r>
    </w:p>
  </w:footnote>
  <w:footnote w:id="29818">
    <w:p>
      <w:pPr>
        <w:pStyle w:val="rFootn"/>
      </w:pPr>
      <w:r>
        <w:rPr>
          <w:rStyle w:val="rFootnRef"/>
        </w:rPr>
        <w:footnoteRef/>
      </w:r>
      <w:r>
        <w:t xml:space="preserve"> From Ps. 16:8-11</w:t>
      </w:r>
    </w:p>
  </w:footnote>
  <w:footnote w:id="30545">
    <w:p>
      <w:pPr>
        <w:pStyle w:val="rFootn"/>
      </w:pPr>
      <w:r>
        <w:rPr>
          <w:rStyle w:val="rFootnRef"/>
        </w:rPr>
        <w:footnoteRef/>
      </w:r>
      <w:r>
        <w:t xml:space="preserve"> From Ps. 132:11</w:t>
      </w:r>
    </w:p>
  </w:footnote>
  <w:footnote w:id="12559">
    <w:p>
      <w:pPr>
        <w:pStyle w:val="rFootn"/>
      </w:pPr>
      <w:r>
        <w:rPr>
          <w:rStyle w:val="rFootnRef"/>
        </w:rPr>
        <w:footnoteRef/>
      </w:r>
      <w:r>
        <w:t xml:space="preserve"> Lit. “the Anointed One”</w:t>
      </w:r>
    </w:p>
  </w:footnote>
  <w:footnote w:id="21906">
    <w:p>
      <w:pPr>
        <w:pStyle w:val="rFootn"/>
      </w:pPr>
      <w:r>
        <w:rPr>
          <w:rStyle w:val="rFootnRef"/>
        </w:rPr>
        <w:footnoteRef/>
      </w:r>
      <w:r>
        <w:t xml:space="preserve"> From Ps. 16:10</w:t>
      </w:r>
    </w:p>
  </w:footnote>
  <w:footnote w:id="19591">
    <w:p>
      <w:pPr>
        <w:pStyle w:val="rFootn"/>
      </w:pPr>
      <w:r>
        <w:rPr>
          <w:rStyle w:val="rFootnRef"/>
        </w:rPr>
        <w:footnoteRef/>
      </w:r>
      <w:r>
        <w:t xml:space="preserve"> From Ps. 110:1</w:t>
      </w:r>
    </w:p>
  </w:footnote>
  <w:footnote w:id="14187">
    <w:p>
      <w:pPr>
        <w:pStyle w:val="rFootn"/>
      </w:pPr>
      <w:r>
        <w:rPr>
          <w:rStyle w:val="rFootnRef"/>
        </w:rPr>
        <w:footnoteRef/>
      </w:r>
      <w:r>
        <w:t xml:space="preserve"> About 3 p.m.</w:t>
      </w:r>
    </w:p>
  </w:footnote>
  <w:footnote w:id="14614">
    <w:p>
      <w:pPr>
        <w:pStyle w:val="rFootn"/>
      </w:pPr>
      <w:r>
        <w:rPr>
          <w:rStyle w:val="rFootnRef"/>
        </w:rPr>
        <w:footnoteRef/>
      </w:r>
      <w:r>
        <w:t xml:space="preserve"> Lit. “the Anointed One”</w:t>
      </w:r>
    </w:p>
  </w:footnote>
  <w:footnote w:id="22073">
    <w:p>
      <w:pPr>
        <w:pStyle w:val="rFootn"/>
      </w:pPr>
      <w:r>
        <w:rPr>
          <w:rStyle w:val="rFootnRef"/>
        </w:rPr>
        <w:footnoteRef/>
      </w:r>
      <w:r>
        <w:t xml:space="preserve"> From Deut. 18:15, 18-19</w:t>
      </w:r>
    </w:p>
  </w:footnote>
  <w:footnote w:id="32724">
    <w:p>
      <w:pPr>
        <w:pStyle w:val="rFootn"/>
      </w:pPr>
      <w:r>
        <w:rPr>
          <w:rStyle w:val="rFootnRef"/>
        </w:rPr>
        <w:footnoteRef/>
      </w:r>
      <w:r>
        <w:t xml:space="preserve"> The nation of Israel was referred to as “the People.”</w:t>
      </w:r>
    </w:p>
  </w:footnote>
  <w:footnote w:id="24769">
    <w:p>
      <w:pPr>
        <w:pStyle w:val="rFootn"/>
      </w:pPr>
      <w:r>
        <w:rPr>
          <w:rStyle w:val="rFootnRef"/>
        </w:rPr>
        <w:footnoteRef/>
      </w:r>
      <w:r>
        <w:t xml:space="preserve"> From Gen. 22:18; 26:4</w:t>
      </w:r>
    </w:p>
  </w:footnote>
  <w:footnote w:id="16682">
    <w:p>
      <w:pPr>
        <w:pStyle w:val="rFootn"/>
      </w:pPr>
      <w:r>
        <w:rPr>
          <w:rStyle w:val="rFootnRef"/>
        </w:rPr>
        <w:footnoteRef/>
      </w:r>
      <w:r>
        <w:t xml:space="preserve"> Lit. “the Anointed One”</w:t>
      </w:r>
    </w:p>
  </w:footnote>
  <w:footnote w:id="29200">
    <w:p>
      <w:pPr>
        <w:pStyle w:val="rFootn"/>
      </w:pPr>
      <w:r>
        <w:rPr>
          <w:rStyle w:val="rFootnRef"/>
        </w:rPr>
        <w:footnoteRef/>
      </w:r>
      <w:r>
        <w:t xml:space="preserve"> From Ps. 118:22</w:t>
      </w:r>
    </w:p>
  </w:footnote>
  <w:footnote w:id="25491">
    <w:p>
      <w:pPr>
        <w:pStyle w:val="rFootn"/>
      </w:pPr>
      <w:r>
        <w:rPr>
          <w:rStyle w:val="rFootnRef"/>
        </w:rPr>
        <w:footnoteRef/>
      </w:r>
      <w:r>
        <w:t xml:space="preserve"> The nation of Israel was called “the People,” so it is appropriate to capitalize it when it refers to Israel.</w:t>
      </w:r>
    </w:p>
  </w:footnote>
  <w:footnote w:id="11663">
    <w:p>
      <w:pPr>
        <w:pStyle w:val="rFootn"/>
      </w:pPr>
      <w:r>
        <w:rPr>
          <w:rStyle w:val="rFootnRef"/>
        </w:rPr>
        <w:footnoteRef/>
      </w:r>
      <w:r>
        <w:t xml:space="preserve"> From Ps. 2:1-2</w:t>
      </w:r>
    </w:p>
  </w:footnote>
  <w:footnote w:id="31012">
    <w:p>
      <w:pPr>
        <w:pStyle w:val="rFootn"/>
      </w:pPr>
      <w:r>
        <w:rPr>
          <w:rStyle w:val="rFootnRef"/>
        </w:rPr>
        <w:footnoteRef/>
      </w:r>
      <w:r>
        <w:t xml:space="preserve"> “Adversary” is the translation of the Greek </w:t>
      </w:r>
      <w:r>
        <w:rPr>
          <w:i/>
        </w:rPr>
        <w:t xml:space="preserve">satanas</w:t>
      </w:r>
      <w:r>
        <w:t xml:space="preserve">.</w:t>
      </w:r>
    </w:p>
  </w:footnote>
  <w:footnote w:id="18171">
    <w:p>
      <w:pPr>
        <w:pStyle w:val="rFootn"/>
      </w:pPr>
      <w:r>
        <w:rPr>
          <w:rStyle w:val="rFootnRef"/>
        </w:rPr>
        <w:footnoteRef/>
      </w:r>
      <w:r>
        <w:t xml:space="preserve"> The nation of Israel was referred to as “the People.”</w:t>
      </w:r>
    </w:p>
  </w:footnote>
  <w:footnote w:id="26247">
    <w:p>
      <w:pPr>
        <w:pStyle w:val="rFootn"/>
      </w:pPr>
      <w:r>
        <w:rPr>
          <w:rStyle w:val="rFootnRef"/>
        </w:rPr>
        <w:footnoteRef/>
      </w:r>
      <w:r>
        <w:t xml:space="preserve"> “The Name” refers to Jesus.</w:t>
      </w:r>
    </w:p>
  </w:footnote>
  <w:footnote w:id="13926">
    <w:p>
      <w:pPr>
        <w:pStyle w:val="rFootn"/>
      </w:pPr>
      <w:r>
        <w:rPr>
          <w:rStyle w:val="rFootnRef"/>
        </w:rPr>
        <w:footnoteRef/>
      </w:r>
      <w:r>
        <w:t xml:space="preserve"> Lit. “the Anointed One”</w:t>
      </w:r>
    </w:p>
  </w:footnote>
  <w:footnote w:id="28953">
    <w:p>
      <w:pPr>
        <w:pStyle w:val="rFootn"/>
      </w:pPr>
      <w:r>
        <w:rPr>
          <w:rStyle w:val="rFootnRef"/>
        </w:rPr>
        <w:footnoteRef/>
      </w:r>
      <w:r>
        <w:t xml:space="preserve"> “Faith” refers to the Christian Faith.</w:t>
      </w:r>
    </w:p>
  </w:footnote>
  <w:footnote w:id="18053">
    <w:p>
      <w:pPr>
        <w:pStyle w:val="rFootn"/>
      </w:pPr>
      <w:r>
        <w:rPr>
          <w:rStyle w:val="rFootnRef"/>
        </w:rPr>
        <w:footnoteRef/>
      </w:r>
      <w:r>
        <w:t xml:space="preserve"> From Gen. 12:1</w:t>
      </w:r>
    </w:p>
  </w:footnote>
  <w:footnote w:id="12258">
    <w:p>
      <w:pPr>
        <w:pStyle w:val="rFootn"/>
      </w:pPr>
      <w:r>
        <w:rPr>
          <w:rStyle w:val="rFootnRef"/>
        </w:rPr>
        <w:footnoteRef/>
      </w:r>
      <w:r>
        <w:t xml:space="preserve"> From Gen. 17:7-8</w:t>
      </w:r>
    </w:p>
  </w:footnote>
  <w:footnote w:id="13856">
    <w:p>
      <w:pPr>
        <w:pStyle w:val="rFootn"/>
      </w:pPr>
      <w:r>
        <w:rPr>
          <w:rStyle w:val="rFootnRef"/>
        </w:rPr>
        <w:footnoteRef/>
      </w:r>
      <w:r>
        <w:t xml:space="preserve"> From Gen. 15:13-14</w:t>
      </w:r>
    </w:p>
  </w:footnote>
  <w:footnote w:id="30553">
    <w:p>
      <w:pPr>
        <w:pStyle w:val="rFootn"/>
      </w:pPr>
      <w:r>
        <w:rPr>
          <w:rStyle w:val="rFootnRef"/>
        </w:rPr>
        <w:footnoteRef/>
      </w:r>
      <w:r>
        <w:t xml:space="preserve"> The nation of Israel was called “the People,” so it is appropriate to capitalize it when it refers to Israel.</w:t>
      </w:r>
    </w:p>
  </w:footnote>
  <w:footnote w:id="30616">
    <w:p>
      <w:pPr>
        <w:pStyle w:val="rFootn"/>
      </w:pPr>
      <w:r>
        <w:rPr>
          <w:rStyle w:val="rFootnRef"/>
        </w:rPr>
        <w:footnoteRef/>
      </w:r>
      <w:r>
        <w:t xml:space="preserve"> From Exod. 2:14</w:t>
      </w:r>
    </w:p>
  </w:footnote>
  <w:footnote w:id="29640">
    <w:p>
      <w:pPr>
        <w:pStyle w:val="rFootn"/>
      </w:pPr>
      <w:r>
        <w:rPr>
          <w:rStyle w:val="rFootnRef"/>
        </w:rPr>
        <w:footnoteRef/>
      </w:r>
      <w:r>
        <w:t xml:space="preserve"> From Exod. 3:6</w:t>
      </w:r>
    </w:p>
  </w:footnote>
  <w:footnote w:id="17013">
    <w:p>
      <w:pPr>
        <w:pStyle w:val="rFootn"/>
      </w:pPr>
      <w:r>
        <w:rPr>
          <w:rStyle w:val="rFootnRef"/>
        </w:rPr>
        <w:footnoteRef/>
      </w:r>
      <w:r>
        <w:t xml:space="preserve"> From Exod. 3:5, 7-8, 10</w:t>
      </w:r>
    </w:p>
  </w:footnote>
  <w:footnote w:id="30394">
    <w:p>
      <w:pPr>
        <w:pStyle w:val="rFootn"/>
      </w:pPr>
      <w:r>
        <w:rPr>
          <w:rStyle w:val="rFootnRef"/>
        </w:rPr>
        <w:footnoteRef/>
      </w:r>
      <w:r>
        <w:t xml:space="preserve"> From Deut. 18:15</w:t>
      </w:r>
    </w:p>
  </w:footnote>
  <w:footnote w:id="29711">
    <w:p>
      <w:pPr>
        <w:pStyle w:val="rFootn"/>
      </w:pPr>
      <w:r>
        <w:rPr>
          <w:rStyle w:val="rFootnRef"/>
        </w:rPr>
        <w:footnoteRef/>
      </w:r>
      <w:r>
        <w:t xml:space="preserve"> From Exod. 32:1</w:t>
      </w:r>
    </w:p>
  </w:footnote>
  <w:footnote w:id="19337">
    <w:p>
      <w:pPr>
        <w:pStyle w:val="rFootn"/>
      </w:pPr>
      <w:r>
        <w:rPr>
          <w:rStyle w:val="rFootnRef"/>
        </w:rPr>
        <w:footnoteRef/>
      </w:r>
      <w:r>
        <w:t xml:space="preserve"> From Amos 5:25-27</w:t>
      </w:r>
    </w:p>
  </w:footnote>
  <w:footnote w:id="22879">
    <w:p>
      <w:pPr>
        <w:pStyle w:val="rFootn"/>
      </w:pPr>
      <w:r>
        <w:rPr>
          <w:rStyle w:val="rFootnRef"/>
        </w:rPr>
        <w:footnoteRef/>
      </w:r>
      <w:r>
        <w:t xml:space="preserve"> From Isa. 66:1-2</w:t>
      </w:r>
    </w:p>
  </w:footnote>
  <w:footnote w:id="12628">
    <w:p>
      <w:pPr>
        <w:pStyle w:val="rFootn"/>
      </w:pPr>
      <w:r>
        <w:rPr>
          <w:rStyle w:val="rFootnRef"/>
        </w:rPr>
        <w:footnoteRef/>
      </w:r>
      <w:r>
        <w:t xml:space="preserve"> Lit. “the Anointed One”</w:t>
      </w:r>
    </w:p>
  </w:footnote>
  <w:footnote w:id="28036">
    <w:p>
      <w:pPr>
        <w:pStyle w:val="rFootn"/>
      </w:pPr>
      <w:r>
        <w:rPr>
          <w:rStyle w:val="rFootnRef"/>
        </w:rPr>
        <w:footnoteRef/>
      </w:r>
      <w:r>
        <w:t xml:space="preserve"> From Isa. 53:7-8</w:t>
      </w:r>
    </w:p>
  </w:footnote>
  <w:footnote w:id="18179">
    <w:p>
      <w:pPr>
        <w:pStyle w:val="rFootn"/>
      </w:pPr>
      <w:r>
        <w:rPr>
          <w:rStyle w:val="rFootnRef"/>
        </w:rPr>
        <w:footnoteRef/>
      </w:r>
      <w:r>
        <w:t xml:space="preserve"> Lit. “went up”</w:t>
      </w:r>
    </w:p>
  </w:footnote>
  <w:footnote w:id="15736">
    <w:p>
      <w:pPr>
        <w:pStyle w:val="rFootn"/>
      </w:pPr>
      <w:r>
        <w:rPr>
          <w:rStyle w:val="rFootnRef"/>
        </w:rPr>
        <w:footnoteRef/>
      </w:r>
      <w:r>
        <w:t xml:space="preserve"> “The Way” was one of the first names of the Christian Faith, and it is used six times in Acts.</w:t>
      </w:r>
    </w:p>
  </w:footnote>
  <w:footnote w:id="30047">
    <w:p>
      <w:pPr>
        <w:pStyle w:val="rFootn"/>
      </w:pPr>
      <w:r>
        <w:rPr>
          <w:rStyle w:val="rFootnRef"/>
        </w:rPr>
        <w:footnoteRef/>
      </w:r>
      <w:r>
        <w:t xml:space="preserve"> Lit. “the Anointed One”</w:t>
      </w:r>
    </w:p>
  </w:footnote>
  <w:footnote w:id="32501">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5448">
    <w:p>
      <w:pPr>
        <w:pStyle w:val="rFootn"/>
      </w:pPr>
      <w:r>
        <w:rPr>
          <w:rStyle w:val="rFootnRef"/>
        </w:rPr>
        <w:footnoteRef/>
      </w:r>
      <w:r>
        <w:t xml:space="preserve"> The nation of Israel was called “the People,” so it is appropriate to capitalize it when it refers to Israel.</w:t>
      </w:r>
    </w:p>
  </w:footnote>
  <w:footnote w:id="23330">
    <w:p>
      <w:pPr>
        <w:pStyle w:val="rFootn"/>
      </w:pPr>
      <w:r>
        <w:rPr>
          <w:rStyle w:val="rFootnRef"/>
        </w:rPr>
        <w:footnoteRef/>
      </w:r>
      <w:r>
        <w:t xml:space="preserve"> About 3 p.m.</w:t>
      </w:r>
    </w:p>
  </w:footnote>
  <w:footnote w:id="17969">
    <w:p>
      <w:pPr>
        <w:pStyle w:val="rFootn"/>
      </w:pPr>
      <w:r>
        <w:rPr>
          <w:rStyle w:val="rFootnRef"/>
        </w:rPr>
        <w:footnoteRef/>
      </w:r>
      <w:r>
        <w:t xml:space="preserve"> About 12 p.m.</w:t>
      </w:r>
    </w:p>
  </w:footnote>
  <w:footnote w:id="11236">
    <w:p>
      <w:pPr>
        <w:pStyle w:val="rFootn"/>
      </w:pPr>
      <w:r>
        <w:rPr>
          <w:rStyle w:val="rFootnRef"/>
        </w:rPr>
        <w:footnoteRef/>
      </w:r>
      <w:r>
        <w:t xml:space="preserve"> About 3 p.m.</w:t>
      </w:r>
    </w:p>
  </w:footnote>
  <w:footnote w:id="19844">
    <w:p>
      <w:pPr>
        <w:pStyle w:val="rFootn"/>
      </w:pPr>
      <w:r>
        <w:rPr>
          <w:rStyle w:val="rFootnRef"/>
        </w:rPr>
        <w:footnoteRef/>
      </w:r>
      <w:r>
        <w:t xml:space="preserve"> Lit. “the Anointed One”</w:t>
      </w:r>
    </w:p>
  </w:footnote>
  <w:footnote w:id="26403">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6081">
    <w:p>
      <w:pPr>
        <w:pStyle w:val="rFootn"/>
      </w:pPr>
      <w:r>
        <w:rPr>
          <w:rStyle w:val="rFootnRef"/>
        </w:rPr>
        <w:footnoteRef/>
      </w:r>
      <w:r>
        <w:t xml:space="preserve"> Lit. “the Anointed One”</w:t>
      </w:r>
    </w:p>
  </w:footnote>
  <w:footnote w:id="23786">
    <w:p>
      <w:pPr>
        <w:pStyle w:val="rFootn"/>
      </w:pPr>
      <w:r>
        <w:rPr>
          <w:rStyle w:val="rFootnRef"/>
        </w:rPr>
        <w:footnoteRef/>
      </w:r>
      <w:r>
        <w:t xml:space="preserve"> The nation of Israel was called “the People.”</w:t>
      </w:r>
    </w:p>
  </w:footnote>
  <w:footnote w:id="1447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7646">
    <w:p>
      <w:pPr>
        <w:pStyle w:val="rFootn"/>
      </w:pPr>
      <w:r>
        <w:rPr>
          <w:rStyle w:val="rFootnRef"/>
        </w:rPr>
        <w:footnoteRef/>
      </w:r>
      <w:r>
        <w:t xml:space="preserve"> The nation of Israel was called “the People,” so it is appropriate to capitalize it when it refers to Israel.</w:t>
      </w:r>
    </w:p>
  </w:footnote>
  <w:footnote w:id="31796">
    <w:p>
      <w:pPr>
        <w:pStyle w:val="rFootn"/>
      </w:pPr>
      <w:r>
        <w:rPr>
          <w:rStyle w:val="rFootnRef"/>
        </w:rPr>
        <w:footnoteRef/>
      </w:r>
      <w:r>
        <w:t xml:space="preserve"> From Isa. 44:28; 1 Sam. 13:14; Ps. 89:20</w:t>
      </w:r>
    </w:p>
  </w:footnote>
  <w:footnote w:id="13216">
    <w:p>
      <w:pPr>
        <w:pStyle w:val="rFootn"/>
      </w:pPr>
      <w:r>
        <w:rPr>
          <w:rStyle w:val="rFootnRef"/>
        </w:rPr>
        <w:footnoteRef/>
      </w:r>
      <w:r>
        <w:t xml:space="preserve"> The “Fathers” are the founders of Israel. Abraham, Isaac, etc.</w:t>
      </w:r>
    </w:p>
  </w:footnote>
  <w:footnote w:id="14813">
    <w:p>
      <w:pPr>
        <w:pStyle w:val="rFootn"/>
      </w:pPr>
      <w:r>
        <w:rPr>
          <w:rStyle w:val="rFootnRef"/>
        </w:rPr>
        <w:footnoteRef/>
      </w:r>
      <w:r>
        <w:t xml:space="preserve"> From Ps. 2:7</w:t>
      </w:r>
    </w:p>
  </w:footnote>
  <w:footnote w:id="15369">
    <w:p>
      <w:pPr>
        <w:pStyle w:val="rFootn"/>
      </w:pPr>
      <w:r>
        <w:rPr>
          <w:rStyle w:val="rFootnRef"/>
        </w:rPr>
        <w:footnoteRef/>
      </w:r>
      <w:r>
        <w:t xml:space="preserve"> From Isa. 55:3</w:t>
      </w:r>
    </w:p>
  </w:footnote>
  <w:footnote w:id="24186">
    <w:p>
      <w:pPr>
        <w:pStyle w:val="rFootn"/>
      </w:pPr>
      <w:r>
        <w:rPr>
          <w:rStyle w:val="rFootnRef"/>
        </w:rPr>
        <w:footnoteRef/>
      </w:r>
      <w:r>
        <w:t xml:space="preserve"> From Ps. 16:10</w:t>
      </w:r>
    </w:p>
  </w:footnote>
  <w:footnote w:id="27244">
    <w:p>
      <w:pPr>
        <w:pStyle w:val="rFootn"/>
      </w:pPr>
      <w:r>
        <w:rPr>
          <w:rStyle w:val="rFootnRef"/>
        </w:rPr>
        <w:footnoteRef/>
      </w:r>
      <w:r>
        <w:t xml:space="preserve"> From Hab. 1:5</w:t>
      </w:r>
    </w:p>
  </w:footnote>
  <w:footnote w:id="18638">
    <w:p>
      <w:pPr>
        <w:pStyle w:val="rFootn"/>
      </w:pPr>
      <w:r>
        <w:rPr>
          <w:rStyle w:val="rFootnRef"/>
        </w:rPr>
        <w:footnoteRef/>
      </w:r>
      <w:r>
        <w:t xml:space="preserve"> From Isa. 49:6</w:t>
      </w:r>
    </w:p>
  </w:footnote>
  <w:footnote w:id="27408">
    <w:p>
      <w:pPr>
        <w:pStyle w:val="rFootn"/>
      </w:pPr>
      <w:r>
        <w:rPr>
          <w:rStyle w:val="rFootnRef"/>
        </w:rPr>
        <w:footnoteRef/>
      </w:r>
      <w:r>
        <w:t xml:space="preserve"> The Hebrew form of Simon, Peter’s old Jewish name.</w:t>
      </w:r>
    </w:p>
  </w:footnote>
  <w:footnote w:id="10126">
    <w:p>
      <w:pPr>
        <w:pStyle w:val="rFootn"/>
      </w:pPr>
      <w:r>
        <w:rPr>
          <w:rStyle w:val="rFootnRef"/>
        </w:rPr>
        <w:footnoteRef/>
      </w:r>
      <w:r>
        <w:t xml:space="preserve"> From Amos 9:11-12</w:t>
      </w:r>
    </w:p>
  </w:footnote>
  <w:footnote w:id="21132">
    <w:p>
      <w:pPr>
        <w:pStyle w:val="rFootn"/>
      </w:pPr>
      <w:r>
        <w:rPr>
          <w:rStyle w:val="rFootnRef"/>
        </w:rPr>
        <w:footnoteRef/>
      </w:r>
      <w:r>
        <w:t xml:space="preserve"> Lit. “the Anointed One”</w:t>
      </w:r>
    </w:p>
  </w:footnote>
  <w:footnote w:id="25673">
    <w:p>
      <w:pPr>
        <w:pStyle w:val="rFootn"/>
      </w:pPr>
      <w:r>
        <w:rPr>
          <w:rStyle w:val="rFootnRef"/>
        </w:rPr>
        <w:footnoteRef/>
      </w:r>
      <w:r>
        <w:t xml:space="preserve"> “We.” Acts changes pronouns from “he,” “him,” and “they” to “we” and “us,” because Luke (who penned Acts) joins Paul. The three “we” sections are Acts 16:10-17; 20:5-21:18; Acts 27:1-28:16.</w:t>
      </w:r>
    </w:p>
  </w:footnote>
  <w:footnote w:id="15185">
    <w:p>
      <w:pPr>
        <w:pStyle w:val="rFootn"/>
      </w:pPr>
      <w:r>
        <w:rPr>
          <w:rStyle w:val="rFootnRef"/>
        </w:rPr>
        <w:footnoteRef/>
      </w:r>
      <w:r>
        <w:t xml:space="preserve"> Lit. “the Anointed One”</w:t>
      </w:r>
    </w:p>
  </w:footnote>
  <w:footnote w:id="21391">
    <w:p>
      <w:pPr>
        <w:pStyle w:val="rFootn"/>
      </w:pPr>
      <w:r>
        <w:rPr>
          <w:rStyle w:val="rFootnRef"/>
        </w:rPr>
        <w:footnoteRef/>
      </w:r>
      <w:r>
        <w:t xml:space="preserve"> Lit. “lords”</w:t>
      </w:r>
    </w:p>
  </w:footnote>
  <w:footnote w:id="26824">
    <w:p>
      <w:pPr>
        <w:pStyle w:val="rFootn"/>
      </w:pPr>
      <w:r>
        <w:rPr>
          <w:rStyle w:val="rFootnRef"/>
        </w:rPr>
        <w:footnoteRef/>
      </w:r>
      <w:r>
        <w:t xml:space="preserve"> Lit. “the Anointed One”</w:t>
      </w:r>
    </w:p>
  </w:footnote>
  <w:footnote w:id="10226">
    <w:p>
      <w:pPr>
        <w:pStyle w:val="rFootn"/>
      </w:pPr>
      <w:r>
        <w:rPr>
          <w:rStyle w:val="rFootnRef"/>
        </w:rPr>
        <w:footnoteRef/>
      </w:r>
      <w:r>
        <w:t xml:space="preserve"> Lit. “agora,” the center of civil, religious, and business activity in a city.</w:t>
      </w:r>
    </w:p>
  </w:footnote>
  <w:footnote w:id="21170">
    <w:p>
      <w:pPr>
        <w:pStyle w:val="rFootn"/>
      </w:pPr>
      <w:r>
        <w:rPr>
          <w:rStyle w:val="rFootnRef"/>
        </w:rPr>
        <w:footnoteRef/>
      </w:r>
      <w:r>
        <w:t xml:space="preserve"> Lit. “agora”</w:t>
      </w:r>
    </w:p>
  </w:footnote>
  <w:footnote w:id="12312">
    <w:p>
      <w:pPr>
        <w:pStyle w:val="rFootn"/>
      </w:pPr>
      <w:r>
        <w:rPr>
          <w:rStyle w:val="rFootnRef"/>
        </w:rPr>
        <w:footnoteRef/>
      </w:r>
      <w:r>
        <w:t xml:space="preserve"> Lit. “the Anointed One”</w:t>
      </w:r>
    </w:p>
  </w:footnote>
  <w:footnote w:id="30395">
    <w:p>
      <w:pPr>
        <w:pStyle w:val="rFootn"/>
      </w:pPr>
      <w:r>
        <w:rPr>
          <w:rStyle w:val="rFootnRef"/>
        </w:rPr>
        <w:footnoteRef/>
      </w:r>
      <w:r>
        <w:t xml:space="preserve"> Gallio served July 51-June 52 AD.</w:t>
      </w:r>
    </w:p>
  </w:footnote>
  <w:footnote w:id="20775">
    <w:p>
      <w:pPr>
        <w:pStyle w:val="rFootn"/>
      </w:pPr>
      <w:r>
        <w:rPr>
          <w:rStyle w:val="rFootnRef"/>
        </w:rPr>
        <w:footnoteRef/>
      </w:r>
      <w:r>
        <w:t xml:space="preserve"> “Aquila and Priscilla” are added for clarity.</w:t>
      </w:r>
    </w:p>
  </w:footnote>
  <w:footnote w:id="26884">
    <w:p>
      <w:pPr>
        <w:pStyle w:val="rFootn"/>
      </w:pPr>
      <w:r>
        <w:rPr>
          <w:rStyle w:val="rFootnRef"/>
        </w:rPr>
        <w:footnoteRef/>
      </w:r>
      <w:r>
        <w:t xml:space="preserve"> Lit. “glowing hot in spirit”</w:t>
      </w:r>
    </w:p>
  </w:footnote>
  <w:footnote w:id="25714">
    <w:p>
      <w:pPr>
        <w:pStyle w:val="rFootn"/>
      </w:pPr>
      <w:r>
        <w:rPr>
          <w:rStyle w:val="rFootnRef"/>
        </w:rPr>
        <w:footnoteRef/>
      </w:r>
      <w:r>
        <w:t xml:space="preserve"> Around six million dollars. This indicates there was a very large number of Christians in the area.</w:t>
      </w:r>
    </w:p>
  </w:footnote>
  <w:footnote w:id="14349">
    <w:p>
      <w:pPr>
        <w:pStyle w:val="rFootn"/>
      </w:pPr>
      <w:r>
        <w:rPr>
          <w:rStyle w:val="rFootnRef"/>
        </w:rPr>
        <w:footnoteRef/>
      </w:r>
      <w:r>
        <w:t xml:space="preserve"> Paul most likely wrote 1 Cor. from Ephesus near the end of this three-year stay there.</w:t>
      </w:r>
    </w:p>
  </w:footnote>
  <w:footnote w:id="11725">
    <w:p>
      <w:pPr>
        <w:pStyle w:val="rFootn"/>
      </w:pPr>
      <w:r>
        <w:rPr>
          <w:rStyle w:val="rFootnRef"/>
        </w:rPr>
        <w:footnoteRef/>
      </w:r>
      <w:r>
        <w:t xml:space="preserve"> The Asiarchs were members of the wealthy class from different cities in the province and were delegates to a provincial council.</w:t>
      </w:r>
    </w:p>
  </w:footnote>
  <w:footnote w:id="30165">
    <w:p>
      <w:pPr>
        <w:pStyle w:val="rFootn"/>
      </w:pPr>
      <w:r>
        <w:rPr>
          <w:rStyle w:val="rFootnRef"/>
        </w:rPr>
        <w:footnoteRef/>
      </w:r>
      <w:r>
        <w:t xml:space="preserve"> Lit. “the Anointed One”</w:t>
      </w:r>
    </w:p>
  </w:footnote>
  <w:footnote w:id="32460">
    <w:p>
      <w:pPr>
        <w:pStyle w:val="rFootn"/>
      </w:pPr>
      <w:r>
        <w:rPr>
          <w:rStyle w:val="rFootnRef"/>
        </w:rPr>
        <w:footnoteRef/>
      </w:r>
      <w:r>
        <w:t xml:space="preserve"> Or “counsel”</w:t>
      </w:r>
    </w:p>
  </w:footnote>
  <w:footnote w:id="13177">
    <w:p>
      <w:pPr>
        <w:pStyle w:val="rFootn"/>
      </w:pPr>
      <w:r>
        <w:rPr>
          <w:rStyle w:val="rFootnRef"/>
        </w:rPr>
        <w:footnoteRef/>
      </w:r>
      <w:r>
        <w:t xml:space="preserve"> The nation of Israel was called “the People,” so it is appropriate to capitalize it when it refers to Israel.</w:t>
      </w:r>
    </w:p>
  </w:footnote>
  <w:footnote w:id="19107">
    <w:p>
      <w:pPr>
        <w:pStyle w:val="rFootn"/>
      </w:pPr>
      <w:r>
        <w:rPr>
          <w:rStyle w:val="rFootnRef"/>
        </w:rPr>
        <w:footnoteRef/>
      </w:r>
      <w:r>
        <w:t xml:space="preserve"> The Temple was also called the “Place.”</w:t>
      </w:r>
    </w:p>
  </w:footnote>
  <w:footnote w:id="11045">
    <w:p>
      <w:pPr>
        <w:pStyle w:val="rFootn"/>
      </w:pPr>
      <w:r>
        <w:rPr>
          <w:rStyle w:val="rFootnRef"/>
        </w:rPr>
        <w:footnoteRef/>
      </w:r>
      <w:r>
        <w:t xml:space="preserve"> From Exod. 22:28</w:t>
      </w:r>
    </w:p>
  </w:footnote>
  <w:footnote w:id="12481">
    <w:p>
      <w:pPr>
        <w:pStyle w:val="rFootn"/>
      </w:pPr>
      <w:r>
        <w:rPr>
          <w:rStyle w:val="rFootnRef"/>
        </w:rPr>
        <w:footnoteRef/>
      </w:r>
      <w:r>
        <w:t xml:space="preserve"> The night was divided into watches that started at 6 p.m. The third hour of the night was 9 p.m.</w:t>
      </w:r>
    </w:p>
  </w:footnote>
  <w:footnote w:id="25665">
    <w:p>
      <w:pPr>
        <w:pStyle w:val="rFootn"/>
      </w:pPr>
      <w:r>
        <w:rPr>
          <w:rStyle w:val="rFootnRef"/>
        </w:rPr>
        <w:footnoteRef/>
      </w:r>
      <w:r>
        <w:t xml:space="preserve"> The praetorium was the residence or headquarters of the Roman governor.</w:t>
      </w:r>
    </w:p>
  </w:footnote>
  <w:footnote w:id="32122">
    <w:p>
      <w:pPr>
        <w:pStyle w:val="rFootn"/>
      </w:pPr>
      <w:r>
        <w:rPr>
          <w:rStyle w:val="rFootnRef"/>
        </w:rPr>
        <w:footnoteRef/>
      </w:r>
      <w:r>
        <w:t xml:space="preserve"> Lit. “the Anointed One”</w:t>
      </w:r>
    </w:p>
  </w:footnote>
  <w:footnote w:id="13252">
    <w:p>
      <w:pPr>
        <w:pStyle w:val="rFootn"/>
      </w:pPr>
      <w:r>
        <w:rPr>
          <w:rStyle w:val="rFootnRef"/>
        </w:rPr>
        <w:footnoteRef/>
      </w:r>
      <w:r>
        <w:t xml:space="preserve"> The nation of Israel was called “the People,” so it is appropriate to capitalize it when it refers to Israel.</w:t>
      </w:r>
    </w:p>
  </w:footnote>
  <w:footnote w:id="13391">
    <w:p>
      <w:pPr>
        <w:pStyle w:val="rFootn"/>
      </w:pPr>
      <w:r>
        <w:rPr>
          <w:rStyle w:val="rFootnRef"/>
        </w:rPr>
        <w:footnoteRef/>
      </w:r>
      <w:r>
        <w:t xml:space="preserve"> “Adversary” is the translation of the Greek </w:t>
      </w:r>
      <w:r>
        <w:rPr>
          <w:i/>
        </w:rPr>
        <w:t xml:space="preserve">satanas</w:t>
      </w:r>
      <w:r>
        <w:t xml:space="preserve">.</w:t>
      </w:r>
    </w:p>
  </w:footnote>
  <w:footnote w:id="11959">
    <w:p>
      <w:pPr>
        <w:pStyle w:val="rFootn"/>
      </w:pPr>
      <w:r>
        <w:rPr>
          <w:rStyle w:val="rFootnRef"/>
        </w:rPr>
        <w:footnoteRef/>
      </w:r>
      <w:r>
        <w:t xml:space="preserve"> Lit. “the Anointed One”</w:t>
      </w:r>
    </w:p>
  </w:footnote>
  <w:footnote w:id="13339">
    <w:p>
      <w:pPr>
        <w:pStyle w:val="rFootn"/>
      </w:pPr>
      <w:r>
        <w:rPr>
          <w:rStyle w:val="rFootnRef"/>
        </w:rPr>
        <w:footnoteRef/>
      </w:r>
      <w:r>
        <w:t xml:space="preserve"> The nation of Israel was called “the People,” so it is appropriate to capitalize it when it refers to Israel.</w:t>
      </w:r>
    </w:p>
  </w:footnote>
  <w:footnote w:id="21012">
    <w:p>
      <w:pPr>
        <w:pStyle w:val="rFootn"/>
      </w:pPr>
      <w:r>
        <w:rPr>
          <w:rStyle w:val="rFootnRef"/>
        </w:rPr>
        <w:footnoteRef/>
      </w:r>
      <w:r>
        <w:t xml:space="preserve"> From Isa. 6:9-10</w:t>
      </w:r>
    </w:p>
  </w:footnote>
  <w:footnote w:id="26627">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411200">
    <w:multiLevelType w:val="hybridMultilevel"/>
    <w:lvl w:ilvl="0" w:tplc="15014819">
      <w:start w:val="1"/>
      <w:numFmt w:val="decimal"/>
      <w:lvlText w:val="%1."/>
      <w:lvlJc w:val="left"/>
      <w:pPr>
        <w:ind w:left="720" w:hanging="360"/>
      </w:pPr>
    </w:lvl>
    <w:lvl w:ilvl="1" w:tplc="15014819" w:tentative="1">
      <w:start w:val="1"/>
      <w:numFmt w:val="lowerLetter"/>
      <w:lvlText w:val="%2."/>
      <w:lvlJc w:val="left"/>
      <w:pPr>
        <w:ind w:left="1440" w:hanging="360"/>
      </w:pPr>
    </w:lvl>
    <w:lvl w:ilvl="2" w:tplc="15014819" w:tentative="1">
      <w:start w:val="1"/>
      <w:numFmt w:val="lowerRoman"/>
      <w:lvlText w:val="%3."/>
      <w:lvlJc w:val="right"/>
      <w:pPr>
        <w:ind w:left="2160" w:hanging="180"/>
      </w:pPr>
    </w:lvl>
    <w:lvl w:ilvl="3" w:tplc="15014819" w:tentative="1">
      <w:start w:val="1"/>
      <w:numFmt w:val="decimal"/>
      <w:lvlText w:val="%4."/>
      <w:lvlJc w:val="left"/>
      <w:pPr>
        <w:ind w:left="2880" w:hanging="360"/>
      </w:pPr>
    </w:lvl>
    <w:lvl w:ilvl="4" w:tplc="15014819" w:tentative="1">
      <w:start w:val="1"/>
      <w:numFmt w:val="lowerLetter"/>
      <w:lvlText w:val="%5."/>
      <w:lvlJc w:val="left"/>
      <w:pPr>
        <w:ind w:left="3600" w:hanging="360"/>
      </w:pPr>
    </w:lvl>
    <w:lvl w:ilvl="5" w:tplc="15014819" w:tentative="1">
      <w:start w:val="1"/>
      <w:numFmt w:val="lowerRoman"/>
      <w:lvlText w:val="%6."/>
      <w:lvlJc w:val="right"/>
      <w:pPr>
        <w:ind w:left="4320" w:hanging="180"/>
      </w:pPr>
    </w:lvl>
    <w:lvl w:ilvl="6" w:tplc="15014819" w:tentative="1">
      <w:start w:val="1"/>
      <w:numFmt w:val="decimal"/>
      <w:lvlText w:val="%7."/>
      <w:lvlJc w:val="left"/>
      <w:pPr>
        <w:ind w:left="5040" w:hanging="360"/>
      </w:pPr>
    </w:lvl>
    <w:lvl w:ilvl="7" w:tplc="15014819" w:tentative="1">
      <w:start w:val="1"/>
      <w:numFmt w:val="lowerLetter"/>
      <w:lvlText w:val="%8."/>
      <w:lvlJc w:val="left"/>
      <w:pPr>
        <w:ind w:left="5760" w:hanging="360"/>
      </w:pPr>
    </w:lvl>
    <w:lvl w:ilvl="8" w:tplc="15014819" w:tentative="1">
      <w:start w:val="1"/>
      <w:numFmt w:val="lowerRoman"/>
      <w:lvlText w:val="%9."/>
      <w:lvlJc w:val="right"/>
      <w:pPr>
        <w:ind w:left="6480" w:hanging="180"/>
      </w:pPr>
    </w:lvl>
  </w:abstractNum>
  <w:abstractNum w:abstractNumId="10397">
    <w:multiLevelType w:val="hybridMultilevel"/>
    <w:lvl w:ilvl="0" w:tplc="946040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97">
    <w:abstractNumId w:val="10397"/>
  </w:num>
  <w:num w:numId="11411200">
    <w:abstractNumId w:val="1141120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3266913" Type="http://schemas.openxmlformats.org/officeDocument/2006/relationships/numbering" Target="numbering.xml"/><Relationship Id="rId903157537" Type="http://schemas.openxmlformats.org/officeDocument/2006/relationships/comments" Target="comments.xml"/><Relationship Id="rId121467cdfa45ed2b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