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1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ones.”</w:t>
      </w:r>
      <w:r>
        <w:rPr/>
        <w:t xml:space="preserve"> See commentary on Romans 1:7.</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rFootnRef"/>
        </w:rPr>
        <w:footnoteReference w:id="15186"/>
      </w:r>
      <w:r>
        <w:rPr/>
        <w:t xml:space="preserve"> R. C. H. Lenski writes, “‘To call on him’ means to praise, bless, thank, worship him, and to ask of him all that we need for body and for soul.”</w:t>
      </w:r>
      <w:r>
        <w:rPr>
          <w:rStyle w:val="rFootnRef"/>
        </w:rPr>
        <w:footnoteReference w:id="11688"/>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Christ Jesus.”</w:t>
      </w:r>
      <w:r>
        <w:rPr/>
        <w:t xml:space="preserve"> This is the static “in,” and refers to a connection, a union, with Christ (See commentaries on Rom. 6:3 and Eph. 1:3). 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rFootnRef"/>
        </w:rPr>
        <w:footnoteReference w:id="30134"/>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rFootnRef"/>
        </w:rPr>
        <w:footnoteReference w:id="17896"/>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rFootnRef"/>
        </w:rPr>
        <w:footnoteReference w:id="10185"/>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rFootnRef"/>
        </w:rPr>
        <w:footnoteReference w:id="28908"/>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rFootnRef"/>
        </w:rPr>
        <w:footnoteReference w:id="32233"/>
      </w:r>
      <w:r>
        <w:rPr/>
        <w:t xml:space="preserve"> The Greek means that the Corinthian church was enriched so that they did not have less measure than others, they were not “left behind.”</w:t>
      </w:r>
      <w:r>
        <w:rPr>
          <w:rStyle w:val="rFootnRef"/>
        </w:rPr>
        <w:footnoteReference w:id="32377"/>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rFootnRef"/>
        </w:rPr>
        <w:footnoteReference w:id="11592"/>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rFootnRef"/>
        </w:rPr>
        <w:footnoteReference w:id="32355"/>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rFootnRef"/>
        </w:rPr>
        <w:footnoteReference w:id="28438"/>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rFootnRef"/>
        </w:rPr>
        <w:footnoteReference w:id="15538"/>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rFootnRef"/>
        </w:rPr>
        <w:footnoteReference w:id="21404"/>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rFootnRef"/>
        </w:rPr>
        <w:footnoteReference w:id="19647"/>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rFootnRef"/>
        </w:rPr>
        <w:footnoteReference w:id="18407"/>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12184"/>
        </w:numPr>
        <w:spacing w:before="0" w:after="0" w:line="240" w:lineRule="auto"/>
        <w:rPr/>
      </w:pPr>
      <w:r>
        <w:rPr/>
        <w:t xml:space="preserve">The life force that animates the body, both human and animal. Thus “soul” often equals “life.”</w:t>
      </w:r>
    </w:p>
    <w:p>
      <w:pPr>
        <w:numPr>
          <w:ilvl w:val="0"/>
          <w:numId w:val="12184"/>
        </w:numPr>
        <w:spacing w:before="0" w:after="0" w:line="240" w:lineRule="auto"/>
        <w:rPr/>
      </w:pPr>
      <w:r>
        <w:rPr/>
        <w:t xml:space="preserve">Our emotions, attitudes, thoughts, and feelings.</w:t>
      </w:r>
    </w:p>
    <w:p>
      <w:pPr>
        <w:numPr>
          <w:ilvl w:val="0"/>
          <w:numId w:val="12184"/>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Appendix 16: “Usages of ‘Soul.’”]</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rFootnRef"/>
        </w:rPr>
        <w:footnoteReference w:id="16482"/>
      </w:r>
      <w:r>
        <w:rPr/>
        <w:t xml:space="preserve"> It means, “governed by the ψυχή, [</w:t>
      </w:r>
      <w:r>
        <w:rPr>
          <w:i/>
          <w:iCs/>
        </w:rPr>
        <w:t xml:space="preserve">psuchē</w:t>
      </w:r>
      <w:r>
        <w:rPr/>
        <w:t xml:space="preserve">], i.e., the sensuous nature with its subjection to appetite and passion.”</w:t>
      </w:r>
      <w:r>
        <w:rPr>
          <w:rStyle w:val="rFootnRef"/>
        </w:rPr>
        <w:footnoteReference w:id="18275"/>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rFootnRef"/>
        </w:rPr>
        <w:footnoteReference w:id="27599"/>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rFootnRef"/>
        </w:rPr>
        <w:footnoteReference w:id="27459"/>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ignores God or defies Him, the “work” they have done will be burned and they will suffer loss, but they themselves will still be saved. Christian salvation is not achieved or maintained by doing good works, and it cannot be lost by not doing good works. Salvation is a one-time birth event and it occurs when a person acts according to Romans 10:9 and confesses and believes that Christ is their Lord and that God raised him from the dead. Once a person is saved, they cannot become “unsaved,” their salvation is guaranteed. However, having rewards in the future should be very important to every Christian, and defying or denying God, or marring the church (1 Cor. 3:17) can cost someone their rewards, which would be a terrible thing to have happen.</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rFootnRef"/>
        </w:rPr>
        <w:footnoteReference w:id="29026"/>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dwelled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the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“mars...mar.”</w:t>
      </w:r>
      <w:r>
        <w:rPr/>
        <w:t xml:space="preserve"> The Greek word translated “mar” is </w:t>
      </w:r>
      <w:r>
        <w:rPr>
          <w:i/>
          <w:iCs/>
        </w:rPr>
        <w:t xml:space="preserve">phtheirō</w:t>
      </w:r>
      <w:r>
        <w:rPr/>
        <w:t xml:space="preserve"> (#5351 φθείρω). It has a number of meanings, including “ruin, corrupt, mar, bring into a worse state, spoil, destroy.” Examples of how </w:t>
      </w:r>
      <w:r>
        <w:rPr>
          <w:i/>
          <w:iCs/>
        </w:rPr>
        <w:t xml:space="preserve">phtheirō</w:t>
      </w:r>
      <w:r>
        <w:rPr/>
        <w:t xml:space="preserve"> was used include: financial ruin; seducing and thus “ruining” a virgin; ruin or corrupt someone by false teaching or immoral behavior; ruin a contest by breaking the rules; and of ruining something by destroying it. </w:t>
      </w:r>
      <w:r>
        <w:rPr>
          <w:i/>
          <w:iCs/>
        </w:rPr>
        <w:t xml:space="preserve">Phtheirō</w:t>
      </w:r>
      <w:r>
        <w:rPr/>
        <w:t xml:space="preserve"> is used in verses such as “Bad company corrupts good behavior” (1 Cor. 15:33) and “Put off your old self, which is being corrupted by its deceitful desires” (Eph. 4:22).</w:t>
      </w:r>
    </w:p>
    <w:p>
      <w:pPr>
        <w:pStyle w:val="rNormal"/>
        <w:widowControl w:val="on"/>
        <w:spacing w:before="240" w:after="240" w:line="240" w:lineRule="auto"/>
        <w:ind w:left="0" w:right="0"/>
        <w:jc w:val="left"/>
      </w:pPr>
      <w:r>
        <w:rPr/>
        <w:t xml:space="preserve">In this context, the Bible is speaking of Christians, who are guaranteed everlasting life, and because Christians are guaranteed everlasting life, “destroy” cannot be the correct meaning of </w:t>
      </w:r>
      <w:r>
        <w:rPr>
          <w:i/>
          <w:iCs/>
        </w:rPr>
        <w:t xml:space="preserve">phtheirō</w:t>
      </w:r>
      <w:r>
        <w:rPr/>
        <w:t xml:space="preserve"> here, especially because 1 Cor. 3:15 has just told us that even if a person loses every reward he could have earned, he will still be saved and have everlasting life. We also know that </w:t>
      </w:r>
      <w:r>
        <w:rPr>
          <w:i/>
          <w:iCs/>
        </w:rPr>
        <w:t xml:space="preserve">phtheirō</w:t>
      </w:r>
      <w:r>
        <w:rPr/>
        <w:t xml:space="preserve"> cannot mean “destroy” because in the context (1 Cor. 3:16), the “sanctuary” refers to the whole Church, not an individual (the word “you” in verse 16 is plural). No one can “destroy” the Church! In the context of 1 Corinthians 3, the word </w:t>
      </w:r>
      <w:r>
        <w:rPr>
          <w:i/>
          <w:iCs/>
        </w:rPr>
        <w:t xml:space="preserve">phtheirō</w:t>
      </w:r>
      <w:r>
        <w:rPr/>
        <w:t xml:space="preserve"> is best understood as “to bring into a worse state” or “to mar.” The point of the verse is that if a Christian “brings the Church into a </w:t>
      </w:r>
      <w:r>
        <w:rPr>
          <w:i/>
          <w:iCs/>
        </w:rPr>
        <w:t xml:space="preserve">worse state,</w:t>
      </w:r>
      <w:r>
        <w:rPr/>
        <w:t xml:space="preserve">” that Christian will be “brought into a </w:t>
      </w:r>
      <w:r>
        <w:rPr>
          <w:i/>
          <w:iCs/>
        </w:rPr>
        <w:t xml:space="preserve">worse state</w:t>
      </w:r>
      <w:r>
        <w:rPr/>
        <w:t xml:space="preserve">” by the Lord at the Judgment. In other words, no one mars the Church without personal consequences. This verse is one of the many in the NT that contrasts salvation with rewards. A Christian who mars the Church will not lose their salvation, but they will lose rewards.</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rFootnRef"/>
        </w:rPr>
        <w:footnoteReference w:id="19183"/>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rFootnRef"/>
        </w:rPr>
        <w:footnoteReference w:id="15089"/>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rFootnRef"/>
        </w:rPr>
        <w:footnoteReference w:id="18065"/>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rFootnRef"/>
        </w:rPr>
        <w:footnoteReference w:id="28616"/>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rFootnRef"/>
        </w:rPr>
        <w:footnoteReference w:id="29431"/>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that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rFootnRef"/>
        </w:rPr>
        <w:footnoteReference w:id="14618"/>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rFootnRef"/>
        </w:rPr>
        <w:footnoteReference w:id="19558"/>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rFootnRef"/>
        </w:rPr>
        <w:footnoteReference w:id="31248"/>
      </w:r>
      <w:r>
        <w:rPr/>
        <w:t xml:space="preserve"> C. K. Barrett writes, “‘spirit’ is in this context an aspect of Paul’s personality.”</w:t>
      </w:r>
      <w:r>
        <w:rPr>
          <w:rStyle w:val="rFootnRef"/>
        </w:rPr>
        <w:footnoteReference w:id="12655"/>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rFootnRef"/>
        </w:rPr>
        <w:footnoteReference w:id="14174"/>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his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undisputably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rFootnRef"/>
        </w:rPr>
        <w:footnoteReference w:id="31633"/>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Appendix 15: “Usages of ‘Spirit.’”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rFootnRef"/>
        </w:rPr>
        <w:footnoteReference w:id="31518"/>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“unrighteous.”</w:t>
      </w:r>
      <w:r>
        <w:rPr/>
        <w:t xml:space="preserve"> 1 Corinthians 6:9-10 probably refers to people who are not saved (and are acting out their unrighteousness by flagrant sin). This is why 1 Corinthians 6:11 says that “some” of “you” were like the unrighteous people in this list. We know from reading both First and Second Corinthians that the church in Corinth still had lots of sinners. But the Corinthians were washed, sanctified, and justified, in other words, saved. The unrighteous people referred to here, who act out their unrighteousness with evil works, are not saved. Someone might ask, “If this section is to the unrighteous (unsaved) why does it bother to list the sins, since no unsaved person will “inherit the kingdom” (be saved) anyway.” Actually, in some cases, an “unrighteous” person—someone who is not born again—will be granted everlasting life at the Second Resurrection. At that resurrection, people will be judged by their works, but they will not be saved if their works are flagrantly unrighteous.</w:t>
      </w:r>
    </w:p>
    <w:p>
      <w:pPr>
        <w:pStyle w:val="rNormal"/>
        <w:widowControl w:val="on"/>
        <w:spacing w:before="240" w:after="240" w:line="240" w:lineRule="auto"/>
        <w:ind w:left="0" w:right="0"/>
        <w:jc w:val="left"/>
      </w:pPr>
      <w:r>
        <w:rPr/>
        <w:t xml:space="preserve">It is possible, but less likely, that the verses in this section are referring to Christians who are participating in flagrant sin. In this case, the word “inherit” refers to rewards, not salvation. The Christian’s salvation is secure, and that is stated clearly and in many different ways. Despite the fact that our salvation is secure, our rewards are not. It is possible for a Christian to enter Paradise “naked” (1 Cor. 3:12-15) and ashamed (1 John 2:28; Mark 8:38). The Christian who practices flagrant sin has everlasting life but will have no “inheritance” on the New Earth in the Millennial Kingdom. We must remember that the word “inherit” can refer either to everlasting life (cf. 1 Cor. 15:50) or to the inheritance as a reward in Paradise (Col. 3:24). The context will reveal which of the two meanings applies. There will be Christians who will enter into Paradise but not “inherit” it—they will have no reward. This will be terrible for those who experience it—and is a major reason why “the Hope” is called the anchor of our souls (Heb. 6:19). This list of ungodly behaviors is not exhaustive but representative (cf. Lenski).</w:t>
      </w:r>
      <w:r>
        <w:rPr>
          <w:rStyle w:val="rFootnRef"/>
        </w:rPr>
        <w:footnoteReference w:id="31960"/>
      </w:r>
      <w:r>
        <w:rPr/>
        <w:t xml:space="preserve"> Nevertheless, it is complete enough that Christians are to clearly understand that a Christian cannot live in opposition to God’s will and expect His blessings.</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w:t>
      </w:r>
      <w:r>
        <w:rPr>
          <w:i/>
          <w:iCs/>
        </w:rPr>
        <w:t xml:space="preserve">i.e</w:t>
      </w:r>
      <w:r>
        <w:rPr/>
        <w:t xml:space="preserv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rFootnRef"/>
        </w:rPr>
        <w:footnoteReference w:id="30106"/>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w:t>
      </w:r>
    </w:p>
    <w:p>
      <w:pPr>
        <w:pStyle w:val="rNormal"/>
        <w:widowControl w:val="on"/>
        <w:spacing w:before="240" w:after="240" w:line="240" w:lineRule="auto"/>
        <w:ind w:left="0" w:right="0"/>
        <w:jc w:val="left"/>
      </w:pPr>
      <w:r>
        <w:rPr/>
        <w:t xml:space="preserve">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rFootnRef"/>
        </w:rPr>
        <w:footnoteReference w:id="16335"/>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rFootnRef"/>
        </w:rPr>
        <w:footnoteReference w:id="32653"/>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rFootnRef"/>
        </w:rPr>
        <w:footnoteReference w:id="23241"/>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rFootnRef"/>
        </w:rPr>
        <w:footnoteReference w:id="27282"/>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rFootnRef"/>
        </w:rPr>
        <w:footnoteReference w:id="28328"/>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rFootnRef"/>
        </w:rPr>
        <w:footnoteReference w:id="19120"/>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rFootnRef"/>
        </w:rPr>
        <w:footnoteReference w:id="12811"/>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rFootnRef"/>
        </w:rPr>
        <w:footnoteReference w:id="26974"/>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rFootnRef"/>
        </w:rPr>
        <w:footnoteReference w:id="10421"/>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the REV commentary on 1 Cor. 9:24; for more on the four major games, see the REV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rFootnRef"/>
        </w:rPr>
        <w:footnoteReference w:id="17402"/>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rFootnRef"/>
        </w:rPr>
        <w:footnoteReference w:id="14963"/>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[For more on “in union with Christ,” see commentary on Eph. 1:3.]</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rFootnRef"/>
        </w:rPr>
        <w:footnoteReference w:id="29532"/>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rFootnRef"/>
        </w:rPr>
        <w:footnoteReference w:id="22755"/>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rFootnRef"/>
        </w:rPr>
        <w:footnoteReference w:id="12884"/>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rFootnRef"/>
        </w:rPr>
        <w:footnoteReference w:id="16726"/>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w:t>
      </w:r>
      <w:r>
        <w:rPr>
          <w:i/>
          <w:iCs/>
        </w:rPr>
        <w:t xml:space="preserve">i.e.,</w:t>
      </w:r>
      <w:r>
        <w:rPr/>
        <w:t xml:space="preserv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rFootnRef"/>
        </w:rPr>
        <w:footnoteReference w:id="13701"/>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rFootnRef"/>
        </w:rPr>
        <w:footnoteReference w:id="30322"/>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(cf. REV commentary on Jude 1:5),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rFootnRef"/>
        </w:rPr>
        <w:footnoteReference w:id="25640"/>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rFootnRef"/>
        </w:rPr>
        <w:footnoteReference w:id="25127"/>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rFootnRef"/>
        </w:rPr>
        <w:footnoteReference w:id="15470"/>
      </w:r>
      <w:r>
        <w:rPr/>
        <w:t xml:space="preserve"> to be an excess of credit.</w:t>
      </w:r>
      <w:r>
        <w:rPr>
          <w:rStyle w:val="rFootnRef"/>
        </w:rPr>
        <w:footnoteReference w:id="13467"/>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rFootnRef"/>
        </w:rPr>
        <w:footnoteReference w:id="14823"/>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rFootnRef"/>
        </w:rPr>
        <w:footnoteReference w:id="22074"/>
      </w:r>
      <w:r>
        <w:rPr/>
        <w:t xml:space="preserve"> These two would be “by all means,” which is the most accepted translation, but also the meaning proposed in BDAG,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260467cdfa5497bfc"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rFootnRef"/>
        </w:rPr>
        <w:footnoteReference w:id="13248"/>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rFootnRef"/>
        </w:rPr>
        <w:footnoteReference w:id="12564"/>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12184"/>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12184"/>
        </w:numPr>
        <w:spacing w:before="0" w:after="0" w:line="240" w:lineRule="auto"/>
        <w:rPr/>
      </w:pPr>
      <w:r>
        <w:rPr>
          <w:b/>
          <w:bCs/>
        </w:rPr>
        <w:t xml:space="preserve">The crown of boasting</w:t>
      </w:r>
      <w:r>
        <w:rPr/>
        <w:t xml:space="preserve">: given for winning others to Christ (1 Thess. 2:19 KJV).</w:t>
      </w:r>
    </w:p>
    <w:p>
      <w:pPr>
        <w:numPr>
          <w:ilvl w:val="0"/>
          <w:numId w:val="12184"/>
        </w:numPr>
        <w:spacing w:before="0" w:after="0" w:line="240" w:lineRule="auto"/>
        <w:rPr/>
      </w:pPr>
      <w:r>
        <w:rPr>
          <w:b/>
          <w:bCs/>
        </w:rPr>
        <w:t xml:space="preserve">The crown of righteousness</w:t>
      </w:r>
      <w:r>
        <w:rPr/>
        <w:t xml:space="preserve">: given for loving his appearing (2 Tim. 4:8 KJV).</w:t>
      </w:r>
    </w:p>
    <w:p>
      <w:pPr>
        <w:numPr>
          <w:ilvl w:val="0"/>
          <w:numId w:val="12184"/>
        </w:numPr>
        <w:spacing w:before="0" w:after="0" w:line="240" w:lineRule="auto"/>
        <w:rPr/>
      </w:pPr>
      <w:r>
        <w:rPr>
          <w:b/>
          <w:bCs/>
        </w:rPr>
        <w:t xml:space="preserve">The crown of life</w:t>
      </w:r>
      <w:r>
        <w:rPr/>
        <w:t xml:space="preserve">: given for enduring under trial (James 1:12).</w:t>
      </w:r>
    </w:p>
    <w:p>
      <w:pPr>
        <w:numPr>
          <w:ilvl w:val="0"/>
          <w:numId w:val="12184"/>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rFootnRef"/>
        </w:rPr>
        <w:footnoteReference w:id="16607"/>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w:t>
      </w:r>
      <w:r>
        <w:rPr>
          <w:rStyle w:val="rFootnRef"/>
        </w:rPr>
        <w:footnoteReference w:id="29358"/>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That the prophecy was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rFootnRef"/>
        </w:rPr>
        <w:footnoteReference w:id="26311"/>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rFootnRef"/>
        </w:rPr>
        <w:footnoteReference w:id="14339"/>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rFootnRef"/>
        </w:rPr>
        <w:footnoteReference w:id="21198"/>
      </w:r>
      <w:r>
        <w:rPr/>
        <w:t xml:space="preserve"> We translate this “common to humankind”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the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rFootnRef"/>
        </w:rPr>
        <w:footnoteReference w:id="29618"/>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rFootnRef"/>
        </w:rPr>
        <w:footnoteReference w:id="19957"/>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rFootnRef"/>
        </w:rPr>
        <w:footnoteReference w:id="32350"/>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rFootnRef"/>
        </w:rPr>
        <w:footnoteReference w:id="32414"/>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23210"/>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31392"/>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rFootnRef"/>
        </w:rPr>
        <w:footnoteReference w:id="30531"/>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rFootnRef"/>
        </w:rPr>
        <w:footnoteReference w:id="21422"/>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rFootnRef"/>
        </w:rPr>
        <w:footnoteReference w:id="11344"/>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the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rFootnRef"/>
        </w:rPr>
        <w:footnoteReference w:id="19160"/>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rFootnRef"/>
        </w:rPr>
        <w:footnoteReference w:id="30952"/>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12184"/>
        </w:numPr>
        <w:spacing w:before="0" w:after="0" w:line="240" w:lineRule="auto"/>
        <w:rPr/>
      </w:pPr>
      <w:r>
        <w:rPr>
          <w:b/>
          <w:bCs/>
        </w:rPr>
        <w:t xml:space="preserve">Revelation</w:t>
      </w:r>
      <w:r>
        <w:rPr/>
        <w:t xml:space="preserve">: A message of knowledge; a message of wisdom</w:t>
      </w:r>
    </w:p>
    <w:p>
      <w:pPr>
        <w:numPr>
          <w:ilvl w:val="0"/>
          <w:numId w:val="12184"/>
        </w:numPr>
        <w:spacing w:before="0" w:after="0" w:line="240" w:lineRule="auto"/>
        <w:rPr/>
      </w:pPr>
      <w:r>
        <w:rPr>
          <w:b/>
          <w:bCs/>
        </w:rPr>
        <w:t xml:space="preserve">Power</w:t>
      </w:r>
      <w:r>
        <w:rPr/>
        <w:t xml:space="preserve">: Trust (“faith”); gifts of healing; miracles; prophecy; discerning of spirits</w:t>
      </w:r>
    </w:p>
    <w:p>
      <w:pPr>
        <w:numPr>
          <w:ilvl w:val="0"/>
          <w:numId w:val="12184"/>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rFootnRef"/>
        </w:rPr>
        <w:footnoteReference w:id="18418"/>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rFootnRef"/>
        </w:rPr>
        <w:footnoteReference w:id="32290"/>
      </w:r>
      <w:r>
        <w:rPr/>
        <w:t xml:space="preserve"> One of the definitions in Liddell and Scott’s Greek lexicon is “decision by battle, quarrel, dispute.”</w:t>
      </w:r>
      <w:r>
        <w:rPr>
          <w:rStyle w:val="rFootnRef"/>
        </w:rPr>
        <w:footnoteReference w:id="23549"/>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the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There are many people who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his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the REV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22656"/>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rFootnRef"/>
        </w:rPr>
        <w:footnoteReference w:id="20912"/>
      </w:r>
    </w:p>
    <w:p>
      <w:pPr>
        <w:pStyle w:val="rNormal"/>
        <w:widowControl w:val="on"/>
        <w:spacing w:before="240" w:after="240" w:line="240" w:lineRule="auto"/>
        <w:ind w:left="0" w:right="0"/>
        <w:jc w:val="left"/>
      </w:pPr>
      <w:r>
        <w:rPr/>
        <w:t xml:space="preserve">People who act without love are like human-size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used also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produced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rFootnRef"/>
        </w:rPr>
        <w:footnoteReference w:id="28153"/>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commentary on Matt. 5:5.]</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rFootnRef"/>
        </w:rPr>
        <w:footnoteReference w:id="27692"/>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rFootnRef"/>
        </w:rPr>
        <w:footnoteReference w:id="21343"/>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rFootnRef"/>
        </w:rPr>
        <w:footnoteReference w:id="11437"/>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rFootnRef"/>
        </w:rPr>
        <w:footnoteReference w:id="10927"/>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rFootnRef"/>
        </w:rPr>
        <w:footnoteReference w:id="28717"/>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rFootnRef"/>
        </w:rPr>
        <w:footnoteReference w:id="31600"/>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rFootnRef"/>
        </w:rPr>
        <w:footnoteReference w:id="13510"/>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rFootnRef"/>
        </w:rPr>
        <w:footnoteReference w:id="28033"/>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when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rFootnRef"/>
        </w:rPr>
        <w:footnoteReference w:id="22016"/>
      </w:r>
      <w:r>
        <w:rPr/>
        <w:t xml:space="preserve"> to move rapidly and decisively toward an objective.</w:t>
      </w:r>
      <w:r>
        <w:rPr>
          <w:rStyle w:val="rFootnRef"/>
        </w:rPr>
        <w:footnoteReference w:id="26592"/>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rFootnRef"/>
        </w:rPr>
        <w:footnoteReference w:id="16398"/>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rFootnRef"/>
        </w:rPr>
        <w:footnoteReference w:id="16610"/>
      </w:r>
      <w:r>
        <w:rPr/>
        <w:t xml:space="preserve"> or even just “to prophesy.”</w:t>
      </w:r>
      <w:r>
        <w:rPr>
          <w:rStyle w:val="rFootnRef"/>
        </w:rPr>
        <w:footnoteReference w:id="32372"/>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the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rFootnRef"/>
        </w:rPr>
        <w:footnoteReference w:id="27029"/>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70179171"/>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70179171"/>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70179171"/>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70179171"/>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rFootnRef"/>
        </w:rPr>
        <w:footnoteReference w:id="29063"/>
      </w:r>
      <w:r>
        <w:rPr/>
        <w:t xml:space="preserve"> Upon hearing known foreign languages, people listening assumed speaking in tongues was for mission work.</w:t>
      </w:r>
    </w:p>
    <w:p>
      <w:pPr>
        <w:numPr>
          <w:ilvl w:val="0"/>
          <w:numId w:val="70179171"/>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70179172"/>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70179172"/>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rFootnRef"/>
        </w:rPr>
        <w:footnoteReference w:id="10927"/>
      </w:r>
    </w:p>
    <w:p>
      <w:pPr>
        <w:numPr>
          <w:ilvl w:val="0"/>
          <w:numId w:val="70179172"/>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70179172"/>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70179172"/>
        </w:numPr>
        <w:spacing w:before="0" w:after="0" w:line="240" w:lineRule="auto"/>
        <w:rPr/>
      </w:pPr>
      <w:r>
        <w:rPr/>
        <w:t xml:space="preserve">It is a witness of the resurrection of Christ to the believer, and also a sign to unbelievers (1 Cor. 14:22).</w:t>
      </w:r>
    </w:p>
    <w:p>
      <w:pPr>
        <w:numPr>
          <w:ilvl w:val="0"/>
          <w:numId w:val="70179172"/>
        </w:numPr>
        <w:spacing w:before="0" w:after="0" w:line="240" w:lineRule="auto"/>
        <w:rPr/>
      </w:pPr>
      <w:r>
        <w:rPr/>
        <w:t xml:space="preserve">It is speaking a language of men or of angels (1 Cor. 13:1) which explains why there are so many tongues that are not known human languages.</w:t>
      </w:r>
    </w:p>
    <w:p>
      <w:pPr>
        <w:numPr>
          <w:ilvl w:val="0"/>
          <w:numId w:val="70179172"/>
        </w:numPr>
        <w:spacing w:before="0" w:after="0" w:line="240" w:lineRule="auto"/>
        <w:rPr/>
      </w:pPr>
      <w:r>
        <w:rPr/>
        <w:t xml:space="preserve">It is speaking to God, not to men (1 Cor. 14:2).</w:t>
      </w:r>
    </w:p>
    <w:p>
      <w:pPr>
        <w:numPr>
          <w:ilvl w:val="0"/>
          <w:numId w:val="70179172"/>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70179172"/>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70179172"/>
        </w:numPr>
        <w:spacing w:before="0" w:after="0" w:line="240" w:lineRule="auto"/>
        <w:rPr/>
      </w:pPr>
      <w:r>
        <w:rPr/>
        <w:t xml:space="preserve">It is praise to God (Acts 10:46; 1 Cor. 14:16, 17).</w:t>
      </w:r>
    </w:p>
    <w:p>
      <w:pPr>
        <w:numPr>
          <w:ilvl w:val="0"/>
          <w:numId w:val="70179172"/>
        </w:numPr>
        <w:spacing w:before="0" w:after="0" w:line="240" w:lineRule="auto"/>
        <w:rPr/>
      </w:pPr>
      <w:r>
        <w:rPr/>
        <w:t xml:space="preserve">It is giving thanks to our Heavenly Father (1 Cor. 14:17).</w:t>
      </w:r>
    </w:p>
    <w:p>
      <w:pPr>
        <w:numPr>
          <w:ilvl w:val="0"/>
          <w:numId w:val="70179172"/>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70179172"/>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70179172"/>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70179172"/>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70179173"/>
        </w:numPr>
        <w:spacing w:before="0" w:after="0" w:line="240" w:lineRule="auto"/>
        <w:rPr/>
      </w:pPr>
      <w:r>
        <w:rPr/>
        <w:t xml:space="preserve">Remember that God would not ask you to do something you cannot do. He clearly says, “I want all of you to speak in tongues” (1 Cor. 14:5).</w:t>
      </w:r>
    </w:p>
    <w:p>
      <w:pPr>
        <w:numPr>
          <w:ilvl w:val="0"/>
          <w:numId w:val="70179173"/>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70179173"/>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70179173"/>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70179173"/>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was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rFootnRef"/>
        </w:rPr>
        <w:footnoteReference w:id="16226"/>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rFootnRef"/>
        </w:rPr>
        <w:footnoteReference w:id="21373"/>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rFootnRef"/>
        </w:rPr>
        <w:footnoteReference w:id="22981"/>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rFootnRef"/>
        </w:rPr>
        <w:footnoteReference w:id="10891"/>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rFootnRef"/>
        </w:rPr>
        <w:footnoteReference w:id="14279"/>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rFootnRef"/>
        </w:rPr>
        <w:footnoteReference w:id="16404"/>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rFootnRef"/>
        </w:rPr>
        <w:footnoteReference w:id="21122"/>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rFootnRef"/>
        </w:rPr>
        <w:footnoteReference w:id="16823"/>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rFootnRef"/>
        </w:rPr>
        <w:footnoteReference w:id="12272"/>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rFootnRef"/>
        </w:rPr>
        <w:footnoteReference w:id="18140"/>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rFootnRef"/>
        </w:rPr>
        <w:footnoteReference w:id="26341"/>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70179174"/>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70179174"/>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70179174"/>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rFootnRef"/>
        </w:rPr>
        <w:footnoteReference w:id="20095"/>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spirits </w:t>
      </w:r>
      <w:r>
        <w:rPr>
          <w:b/>
          <w:bCs/>
          <w:i/>
          <w:iCs/>
        </w:rPr>
        <w:t xml:space="preserve">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rFootnRef"/>
        </w:rPr>
        <w:footnoteReference w:id="32693"/>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rFootnRef"/>
        </w:rPr>
        <w:footnoteReference w:id="20631"/>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in many places in the New Testament and in almost every use in Paul’s epistles, to save or rescue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made whole. However, it would not be correct to translate </w:t>
      </w:r>
      <w:r>
        <w:rPr>
          <w:i/>
          <w:iCs/>
        </w:rPr>
        <w:t xml:space="preserve">sōzō</w:t>
      </w:r>
      <w:r>
        <w:rPr/>
        <w:t xml:space="preserve"> as “made whole” in the text, because “saved,” i.e., being given everlasting life, is the primary meaning. It is worth noting that in Paul’s epistles, the word </w:t>
      </w:r>
      <w:r>
        <w:rPr>
          <w:i/>
          <w:iCs/>
        </w:rPr>
        <w:t xml:space="preserve">sōzō</w:t>
      </w:r>
      <w:r>
        <w:rPr/>
        <w:t xml:space="preserve"> occurs 29 times, and it is used of “rescued” (e.g., Rom. 5:9; 2 Tim. 4:18), and “saved,” i.e., given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 fully accomplished reality, which is something Scripture makes clear. Christians are not actually “saved” now because we are not yet in our immortal bodies that will be like Christ’s body (Phil. 3:21; 1 John 3:2). More evidence that we are not “saved” now is that we still get hurt, sick, and die. When we Christians are truly “saved”—which will happen at the Rapture—we will not get sick or die, and we will be “whole” mentally and physically. That our actual salvation is future is why verses such as Romans 10:9, 13:11, and 1 Thess. 5:8, say that our salvation is future.</w:t>
      </w:r>
    </w:p>
    <w:p>
      <w:pPr>
        <w:pStyle w:val="rNormal"/>
        <w:widowControl w:val="on"/>
        <w:spacing w:before="240" w:after="240" w:line="240" w:lineRule="auto"/>
        <w:ind w:left="0" w:right="0"/>
        <w:jc w:val="left"/>
      </w:pPr>
      <w:r>
        <w:rPr/>
        <w:t xml:space="preserve">What Christians have today is a down payment of our everlasting life. We get that when we believe and are sealed with holy spirit (Eph. 1:13-14).</w:t>
      </w:r>
    </w:p>
    <w:p>
      <w:pPr>
        <w:pStyle w:val="rNormal"/>
        <w:widowControl w:val="on"/>
        <w:spacing w:before="240" w:after="240" w:line="240" w:lineRule="auto"/>
        <w:ind w:left="0" w:right="0"/>
        <w:jc w:val="left"/>
      </w:pPr>
      <w:r>
        <w:rPr/>
        <w:t xml:space="preserve">[For information on the prophetic perfect idiom, see commentary on Eph. 2:6, “raised…seated.”]</w:t>
      </w:r>
    </w:p>
    <w:p>
      <w:pPr>
        <w:pStyle w:val="rNormal"/>
        <w:widowControl w:val="on"/>
        <w:spacing w:before="240" w:after="240" w:line="240" w:lineRule="auto"/>
        <w:ind w:left="0" w:right="0"/>
        <w:jc w:val="left"/>
      </w:pPr>
      <w:r>
        <w:rPr/>
        <w:t xml:space="preserve">Along with verses that say we have been saved (Eph. 2:8), or will be saved (Rom. 10:9), there are verses like 1 Corinthians 15:2 that say we “are being saved.” We “are being saved” in a very real sense, but not because our everlasting life is somehow in jeopardy, because it is not; our everlasting life is guaranteed. We “are being saved” in the sense that we “are being rescued” from this world and we “are being made whole” both in our mental wholeness with Christ and in the fact that we are building an inheritance for ourselves in the future Millennial Kingdom. This increasing wholeness, or “salvation,” that we experience as we obey the Word of God and work to be like Christ is sometimes referred to as “sanctification,” and it occurs as we follow verses such as Romans 13:14, “But put on the Lord Jesus Christ.” So, the verses that say we “are being saved,” such as here in 1 Corinthians 15:1-2, are not saying that we have to work to have everlasting life, or that somehow our future salvation is not guaranteed. They are saying that if we want to be truly made whole now on earth and also have rewards in the future, we have to hold firmly onto the message of Christ and obey it.</w:t>
      </w:r>
    </w:p>
    <w:p>
      <w:pPr>
        <w:pStyle w:val="rNormal"/>
        <w:widowControl w:val="on"/>
        <w:spacing w:before="240" w:after="240" w:line="240" w:lineRule="auto"/>
        <w:ind w:left="0" w:right="0"/>
        <w:jc w:val="left"/>
      </w:pPr>
      <w:r>
        <w:rPr/>
        <w:t xml:space="preserve">There are some people who say that 1 Corinthians 15:1-2 shows that Christians can lose their salvation, but it does not say that. We know that Christians are not saved by works (Eph. 2:8; Rom. 3:20; Gal. 2:16). But then, what is 1 Corinthians 15:1-2 saying when it says we “are being saved” if we “hold on firmly” to the message of the Good News, and “holding on firmly” is good works? The simple truth is that the phrase “are being saved” is not referring to our everlasting life salvation; it is speaking about us being “made whole” (“saved”) in other ways. When we hold firmly to the Gospel message we become more whole in this life both mentally and even often physically, and also we are made whole in the next life because we have rewards and an inheritance there. In contrast, people who do not hold on to the message of the Gospel are in danger of having the works they did in this life being burned up, resulting in their being in the Millennial Kingdom with nothing (1 Cor. 3:13-17).</w:t>
      </w:r>
    </w:p>
    <w:p>
      <w:pPr>
        <w:pStyle w:val="rNormal"/>
        <w:widowControl w:val="on"/>
        <w:spacing w:before="240" w:after="240" w:line="240" w:lineRule="auto"/>
        <w:ind w:left="0" w:right="0"/>
        <w:jc w:val="left"/>
      </w:pPr>
      <w:r>
        <w:rPr/>
        <w:t xml:space="preserve">Being in the Kingdom of Christ but having no rewards or inheritance will be a very sad and shameful experience, so the Scripture has serious warnings to Christians to hold firmly to the Gospel message. No one needs to be ashamed when Jesus comes (1 John 2:28), but people who have not obeyed God will be ashamed about that.</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 For more information on the New Birth, see commentary on 1 Pet. 1:3, “new birth.”]</w:t>
      </w:r>
    </w:p>
    <w:p>
      <w:pPr>
        <w:pStyle w:val="rNormal"/>
        <w:widowControl w:val="on"/>
        <w:spacing w:before="240" w:after="240" w:line="240" w:lineRule="auto"/>
        <w:ind w:left="0" w:right="0" w:firstLine="1"/>
        <w:jc w:val="left"/>
      </w:pPr>
      <w:r>
        <w:rPr>
          <w:b/>
          <w:bCs/>
        </w:rPr>
        <w:t xml:space="preserve">“in vain.”</w:t>
      </w:r>
      <w:r>
        <w:rPr/>
        <w:t xml:space="preserve"> The Greek verb translated by the phrase “in vain” is </w:t>
      </w:r>
      <w:r>
        <w:rPr>
          <w:i/>
          <w:iCs/>
        </w:rPr>
        <w:t xml:space="preserve">eikē</w:t>
      </w:r>
      <w:r>
        <w:rPr/>
        <w:t xml:space="preserve"> (#1500 εἰκῇ), and it has several meanings, including “without cause,” “without success or result,” “without purpose,” and “without careful thought.”</w:t>
      </w:r>
      <w:r>
        <w:rPr>
          <w:rStyle w:val="rFootnRef"/>
        </w:rPr>
        <w:footnoteReference w:id="27453"/>
      </w:r>
      <w:r>
        <w:rPr/>
        <w:t xml:space="preserve"> Of those definitions, the two that fit well here are “without success” and “without careful thought.” BDAG gives possible definitions as “without careful thought; without due consideration,” and “without success, result; to no avail” as the primary meaning of </w:t>
      </w:r>
      <w:r>
        <w:rPr>
          <w:i/>
          <w:iCs/>
        </w:rPr>
        <w:t xml:space="preserve">eikē</w:t>
      </w:r>
      <w:r>
        <w:rPr/>
        <w:t xml:space="preserve"> in 1 Corinthians 15:2, and that meaning fits the context and scope of Scripture very well.</w:t>
      </w:r>
    </w:p>
    <w:p>
      <w:pPr>
        <w:pStyle w:val="rNormal"/>
        <w:widowControl w:val="on"/>
        <w:spacing w:before="240" w:after="240" w:line="240" w:lineRule="auto"/>
        <w:ind w:left="0" w:right="0"/>
        <w:jc w:val="left"/>
      </w:pPr>
      <w:r>
        <w:rPr/>
        <w:t xml:space="preserve">Christians who get saved but then do not continue to “hold on firmly” to the Gospel message and obey it are not thinking carefully about the sacrifice that God and Christ made so they could be saved. Furthermore, Christians who do not hold on firmly to the Gospel and obey it have not given much thought to the fact they will have no rewards and no inheritance in the Millennial Kingdom. Earlier in Corinthians, Paul wrote that it was possible to be saved but get no rewards in the Kingdom (1 Cor. 3:13-15), and 1 Corinthians 15:1-2 is stating that truth in another way. Those verses, and others like them, are warnings that it is possible to be saved but have no reward or inheritance in the future kingdom (cf. 2 John 1:8).</w:t>
      </w:r>
    </w:p>
    <w:p>
      <w:pPr>
        <w:pStyle w:val="rNormal"/>
        <w:widowControl w:val="on"/>
        <w:spacing w:before="240" w:after="240" w:line="240" w:lineRule="auto"/>
        <w:ind w:left="0" w:right="0"/>
        <w:jc w:val="left"/>
      </w:pPr>
      <w:r>
        <w:rPr/>
        <w:t xml:space="preserve">The person who does not hold fast to the Gospel message he has been taught has not given careful thought to salvation, and also will have little or no rewards, so in a sense, he is saved “without success” because God’s heart for every person is that they would have a rich reward in the future Kingdom of Christ. To arrive in the Millennial Kingdom but not have any rewards is not being successful like God desires us to be successful.</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2807"/>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Appendix 16: “Usages of ‘Soul.’” For more on death and that when a person dies, he is dead in every way and awaiting the resurrection of his body, see Appendix 3: “The Dead are Dead.”]</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rFootnRef"/>
        </w:rPr>
        <w:footnoteReference w:id="13233"/>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407"/>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rFootnRef"/>
        </w:rPr>
        <w:footnoteReference w:id="12510"/>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rFootnRef"/>
        </w:rPr>
        <w:footnoteReference w:id="19857"/>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rFootnRef"/>
        </w:rPr>
        <w:footnoteReference w:id="14387"/>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rFootnRef"/>
        </w:rPr>
        <w:footnoteReference w:id="14033"/>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ours).</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rFootnRef"/>
        </w:rPr>
        <w:footnoteReference w:id="21055"/>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rFootnRef"/>
        </w:rPr>
        <w:footnoteReference w:id="26370"/>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rFootnRef"/>
        </w:rPr>
        <w:footnoteReference w:id="29962"/>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rFootnRef"/>
        </w:rPr>
        <w:footnoteReference w:id="13832"/>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rFootnRef"/>
        </w:rPr>
        <w:footnoteReference w:id="20557"/>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rFootnRef"/>
        </w:rPr>
        <w:footnoteReference w:id="29559"/>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the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rFootnRef"/>
        </w:rPr>
        <w:footnoteReference w:id="14636"/>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VersHead"/>
        <w:widowControl w:val="on"/>
      </w:pPr>
      <w:r>
        <w:rPr/>
        <w:t xml:space="preserve">1Co 15:58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w:t>
      </w:r>
      <w:r>
        <w:rPr>
          <w:i/>
          <w:iCs/>
        </w:rPr>
        <w:t xml:space="preserve">Greek-English Lexicon</w:t>
      </w:r>
      <w:r>
        <w:rPr/>
        <w:t xml:space="preserve"> gets the sense correct in this context when it says, “In the psychological sense of encouragement to remain firm.”</w:t>
      </w:r>
      <w:r>
        <w:rPr>
          <w:rStyle w:val="rFootnRef"/>
        </w:rPr>
        <w:footnoteReference w:id="21663"/>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16:19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the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432767cdfa543e40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737217"/>
      <w:docPartObj>
        <w:docPartGallery w:val="Page Numbers (Bottom of Page)"/>
        <w:docPartUnique/>
      </w:docPartObj>
    </w:sdtPr>
    <w:sdtContent>
      <w:sdt>
        <w:sdtPr>
          <w:id w:val="50392400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186">
    <w:p>
      <w:pPr>
        <w:pStyle w:val="rFootn"/>
      </w:pPr>
      <w:r>
        <w:rPr>
          <w:rStyle w:val="rFootnRef"/>
        </w:rPr>
        <w:footnoteRef/>
      </w:r>
      <w:r>
        <w:t xml:space="preserve"> Marvin R. Vincent, </w:t>
      </w:r>
      <w:r>
        <w:rPr>
          <w:i/>
        </w:rPr>
        <w:t xml:space="preserve">Word Studies in the New Testament</w:t>
      </w:r>
      <w:r>
        <w:t xml:space="preserve">, 3:186.</w:t>
      </w:r>
    </w:p>
  </w:footnote>
  <w:footnote w:id="11688">
    <w:p>
      <w:pPr>
        <w:pStyle w:val="rFootn"/>
      </w:pPr>
      <w:r>
        <w:rPr>
          <w:rStyle w:val="rFootnRef"/>
        </w:rPr>
        <w:footnoteRef/>
      </w:r>
      <w:r>
        <w:t xml:space="preserve"> Lenski, </w:t>
      </w:r>
      <w:r>
        <w:rPr>
          <w:i/>
        </w:rPr>
        <w:t xml:space="preserve">The Interpretation of St. Paul’s First and Second Epistles to the Corinthians</w:t>
      </w:r>
      <w:r>
        <w:t xml:space="preserve">, 26.</w:t>
      </w:r>
    </w:p>
  </w:footnote>
  <w:footnote w:id="30134">
    <w:p>
      <w:pPr>
        <w:pStyle w:val="rFootn"/>
      </w:pPr>
      <w:r>
        <w:rPr>
          <w:rStyle w:val="rFootnRef"/>
        </w:rPr>
        <w:footnoteRef/>
      </w:r>
      <w:r>
        <w:t xml:space="preserve"> R. C. H. Lenski, </w:t>
      </w:r>
      <w:r>
        <w:rPr>
          <w:i/>
        </w:rPr>
        <w:t xml:space="preserve">First and Second Epistles to the Corinthians</w:t>
      </w:r>
      <w:r>
        <w:t xml:space="preserve">, 30.</w:t>
      </w:r>
    </w:p>
  </w:footnote>
  <w:footnote w:id="17896">
    <w:p>
      <w:pPr>
        <w:pStyle w:val="rFootn"/>
      </w:pPr>
      <w:r>
        <w:rPr>
          <w:rStyle w:val="rFootnRef"/>
        </w:rPr>
        <w:footnoteRef/>
      </w:r>
      <w:r>
        <w:t xml:space="preserve"> Bullinger, </w:t>
      </w:r>
      <w:r>
        <w:rPr>
          <w:i/>
        </w:rPr>
        <w:t xml:space="preserve">Figures of Speech</w:t>
      </w:r>
      <w:r>
        <w:t xml:space="preserve">, 472, “epitrechon”; J. B. Lightfoot, </w:t>
      </w:r>
      <w:r>
        <w:rPr>
          <w:i/>
        </w:rPr>
        <w:t xml:space="preserve">Notes on the Epistles of St. Paul</w:t>
      </w:r>
      <w:r>
        <w:t xml:space="preserve">, 148.</w:t>
      </w:r>
    </w:p>
  </w:footnote>
  <w:footnote w:id="10185">
    <w:p>
      <w:pPr>
        <w:pStyle w:val="rFootn"/>
      </w:pPr>
      <w:r>
        <w:rPr>
          <w:rStyle w:val="rFootnRef"/>
        </w:rPr>
        <w:footnoteRef/>
      </w:r>
      <w:r>
        <w:t xml:space="preserve"> Cf. Robertson, </w:t>
      </w:r>
      <w:r>
        <w:rPr>
          <w:i/>
        </w:rPr>
        <w:t xml:space="preserve">Word Pictures in the New Testament</w:t>
      </w:r>
      <w:r>
        <w:t xml:space="preserve">, 4:70; Lightfoot, </w:t>
      </w:r>
      <w:r>
        <w:rPr>
          <w:i/>
        </w:rPr>
        <w:t xml:space="preserve">Notes</w:t>
      </w:r>
      <w:r>
        <w:t xml:space="preserve">, 148.</w:t>
      </w:r>
    </w:p>
  </w:footnote>
  <w:footnote w:id="28908">
    <w:p>
      <w:pPr>
        <w:pStyle w:val="rFootn"/>
      </w:pPr>
      <w:r>
        <w:rPr>
          <w:rStyle w:val="rFootnRef"/>
        </w:rPr>
        <w:footnoteRef/>
      </w:r>
      <w:r>
        <w:t xml:space="preserve"> Gordon Fee, </w:t>
      </w:r>
      <w:r>
        <w:rPr>
          <w:i/>
        </w:rPr>
        <w:t xml:space="preserve">The First Epistle to the Corinthians</w:t>
      </w:r>
      <w:r>
        <w:t xml:space="preserve"> [NICNT], 40.</w:t>
      </w:r>
    </w:p>
  </w:footnote>
  <w:footnote w:id="32233">
    <w:p>
      <w:pPr>
        <w:pStyle w:val="rFootn"/>
      </w:pPr>
      <w:r>
        <w:rPr>
          <w:rStyle w:val="rFootnRef"/>
        </w:rPr>
        <w:footnoteRef/>
      </w:r>
      <w:r>
        <w:t xml:space="preserve"> Cf. Kenneth S. Wuest, </w:t>
      </w:r>
      <w:r>
        <w:rPr>
          <w:i/>
        </w:rPr>
        <w:t xml:space="preserve">The New Testament: an Expanded Translation</w:t>
      </w:r>
      <w:r>
        <w:t xml:space="preserve">, 383.</w:t>
      </w:r>
    </w:p>
  </w:footnote>
  <w:footnote w:id="32377">
    <w:p>
      <w:pPr>
        <w:pStyle w:val="rFootn"/>
      </w:pPr>
      <w:r>
        <w:rPr>
          <w:rStyle w:val="rFootnRef"/>
        </w:rPr>
        <w:footnoteRef/>
      </w:r>
      <w:r>
        <w:t xml:space="preserve"> Thayer, </w:t>
      </w:r>
      <w:r>
        <w:rPr>
          <w:i/>
        </w:rPr>
        <w:t xml:space="preserve">Greek-English Lexicon</w:t>
      </w:r>
      <w:r>
        <w:t xml:space="preserve">, s.v. “ὑστερέω.”</w:t>
      </w:r>
    </w:p>
  </w:footnote>
  <w:footnote w:id="11592">
    <w:p>
      <w:pPr>
        <w:pStyle w:val="rFootn"/>
      </w:pPr>
      <w:r>
        <w:rPr>
          <w:rStyle w:val="rFootnRef"/>
        </w:rPr>
        <w:footnoteRef/>
      </w:r>
      <w:r>
        <w:t xml:space="preserve"> Gordon Fee, </w:t>
      </w:r>
      <w:r>
        <w:rPr>
          <w:i/>
        </w:rPr>
        <w:t xml:space="preserve">The First Epistle to the Corinthians</w:t>
      </w:r>
      <w:r>
        <w:t xml:space="preserve"> [NICNT], 40.</w:t>
      </w:r>
    </w:p>
  </w:footnote>
  <w:footnote w:id="32355">
    <w:p>
      <w:pPr>
        <w:pStyle w:val="rFootn"/>
      </w:pPr>
      <w:r>
        <w:rPr>
          <w:rStyle w:val="rFootnRef"/>
        </w:rPr>
        <w:footnoteRef/>
      </w:r>
      <w:r>
        <w:t xml:space="preserve"> Fee, </w:t>
      </w:r>
      <w:r>
        <w:rPr>
          <w:i/>
        </w:rPr>
        <w:t xml:space="preserve">Corinthians</w:t>
      </w:r>
      <w:r>
        <w:t xml:space="preserve"> [NICNT], 43.</w:t>
      </w:r>
    </w:p>
  </w:footnote>
  <w:footnote w:id="28438">
    <w:p>
      <w:pPr>
        <w:pStyle w:val="rFootn"/>
      </w:pPr>
      <w:r>
        <w:rPr>
          <w:rStyle w:val="rFootnRef"/>
        </w:rPr>
        <w:footnoteRef/>
      </w:r>
      <w:r>
        <w:t xml:space="preserve"> Cf. NASB; Thayer, s.v. “καταρτίζω”; Lenski, </w:t>
      </w:r>
      <w:r>
        <w:rPr>
          <w:i/>
        </w:rPr>
        <w:t xml:space="preserve">First and Second Epistles to the Corinthians</w:t>
      </w:r>
      <w:r>
        <w:t xml:space="preserve">, 39.</w:t>
      </w:r>
    </w:p>
  </w:footnote>
  <w:footnote w:id="15538">
    <w:p>
      <w:pPr>
        <w:pStyle w:val="rFootn"/>
      </w:pPr>
      <w:r>
        <w:rPr>
          <w:rStyle w:val="rFootnRef"/>
        </w:rPr>
        <w:footnoteRef/>
      </w:r>
      <w:r>
        <w:t xml:space="preserve"> Cf. Lenski, </w:t>
      </w:r>
      <w:r>
        <w:rPr>
          <w:i/>
        </w:rPr>
        <w:t xml:space="preserve">Corinthians</w:t>
      </w:r>
      <w:r>
        <w:t xml:space="preserve">, 66-67.</w:t>
      </w:r>
    </w:p>
  </w:footnote>
  <w:footnote w:id="21404">
    <w:p>
      <w:pPr>
        <w:pStyle w:val="rFootn"/>
      </w:pPr>
      <w:r>
        <w:rPr>
          <w:rStyle w:val="rFootnRef"/>
        </w:rPr>
        <w:footnoteRef/>
      </w:r>
      <w:r>
        <w:t xml:space="preserve"> see Metzger, </w:t>
      </w:r>
      <w:r>
        <w:rPr>
          <w:i/>
        </w:rPr>
        <w:t xml:space="preserve">Textual Commentary on the Greek New Testament</w:t>
      </w:r>
      <w:r>
        <w:t xml:space="preserve">, 545.</w:t>
      </w:r>
    </w:p>
  </w:footnote>
  <w:footnote w:id="19647">
    <w:p>
      <w:pPr>
        <w:pStyle w:val="rFootn"/>
      </w:pPr>
      <w:r>
        <w:rPr>
          <w:rStyle w:val="rFootnRef"/>
        </w:rPr>
        <w:footnoteRef/>
      </w:r>
      <w:r>
        <w:t xml:space="preserve"> Bullinger, </w:t>
      </w:r>
      <w:r>
        <w:rPr>
          <w:i/>
        </w:rPr>
        <w:t xml:space="preserve">Figures of Speech</w:t>
      </w:r>
      <w:r>
        <w:t xml:space="preserve">, “Intransitive for the Transitive,” 510-12.</w:t>
      </w:r>
    </w:p>
  </w:footnote>
  <w:footnote w:id="18407">
    <w:p>
      <w:pPr>
        <w:pStyle w:val="rFootn"/>
      </w:pPr>
      <w:r>
        <w:rPr>
          <w:rStyle w:val="rFootnRef"/>
        </w:rPr>
        <w:footnoteRef/>
      </w:r>
      <w:r>
        <w:t xml:space="preserve"> Bratcher and Nida, </w:t>
      </w:r>
      <w:r>
        <w:rPr>
          <w:i/>
        </w:rPr>
        <w:t xml:space="preserve">A Translator’s Handbook on Paul’s Letter to the Ephesians</w:t>
      </w:r>
      <w:r>
        <w:t xml:space="preserve">, commentary on Eph. 1:5.</w:t>
      </w:r>
    </w:p>
  </w:footnote>
  <w:footnote w:id="16482">
    <w:p>
      <w:pPr>
        <w:pStyle w:val="rFootn"/>
      </w:pPr>
      <w:r>
        <w:rPr>
          <w:rStyle w:val="rFootnRef"/>
        </w:rPr>
        <w:footnoteRef/>
      </w:r>
      <w:r>
        <w:t xml:space="preserve"> Louw and Nida, </w:t>
      </w:r>
      <w:r>
        <w:rPr>
          <w:i/>
        </w:rPr>
        <w:t xml:space="preserve">Greek English Lexicon</w:t>
      </w:r>
      <w:r>
        <w:t xml:space="preserve">, s.v. “ψυχικός.”</w:t>
      </w:r>
    </w:p>
  </w:footnote>
  <w:footnote w:id="18275">
    <w:p>
      <w:pPr>
        <w:pStyle w:val="rFootn"/>
      </w:pPr>
      <w:r>
        <w:rPr>
          <w:rStyle w:val="rFootnRef"/>
        </w:rPr>
        <w:footnoteRef/>
      </w:r>
      <w:r>
        <w:t xml:space="preserve"> Thayer </w:t>
      </w:r>
      <w:r>
        <w:rPr>
          <w:i/>
        </w:rPr>
        <w:t xml:space="preserve">Greek-English Lexicon</w:t>
      </w:r>
      <w:r>
        <w:t xml:space="preserve">, s.v. “ψυχικός.”</w:t>
      </w:r>
    </w:p>
  </w:footnote>
  <w:footnote w:id="27599">
    <w:p>
      <w:pPr>
        <w:pStyle w:val="rFootn"/>
      </w:pPr>
      <w:r>
        <w:rPr>
          <w:rStyle w:val="rFootnRef"/>
        </w:rPr>
        <w:footnoteRef/>
      </w:r>
      <w:r>
        <w:t xml:space="preserve"> R. C. H. Lenski, </w:t>
      </w:r>
      <w:r>
        <w:rPr>
          <w:i/>
        </w:rPr>
        <w:t xml:space="preserve">St. Paul’s First and Second Epistles to the Corinthians</w:t>
      </w:r>
      <w:r>
        <w:t xml:space="preserve">, 116.</w:t>
      </w:r>
    </w:p>
  </w:footnote>
  <w:footnote w:id="27459">
    <w:p>
      <w:pPr>
        <w:pStyle w:val="rFootn"/>
      </w:pPr>
      <w:r>
        <w:rPr>
          <w:rStyle w:val="rFootnRef"/>
        </w:rPr>
        <w:footnoteRef/>
      </w:r>
      <w:r>
        <w:t xml:space="preserve"> Cf. R. C. H. Lenski, </w:t>
      </w:r>
      <w:r>
        <w:rPr>
          <w:i/>
        </w:rPr>
        <w:t xml:space="preserve">St. Paul’s First and Second Epistles to the Corinthians</w:t>
      </w:r>
      <w:r>
        <w:t xml:space="preserve">, 135.</w:t>
      </w:r>
    </w:p>
  </w:footnote>
  <w:footnote w:id="29026">
    <w:p>
      <w:pPr>
        <w:pStyle w:val="rFootn"/>
      </w:pPr>
      <w:r>
        <w:rPr>
          <w:rStyle w:val="rFootnRef"/>
        </w:rPr>
        <w:footnoteRef/>
      </w:r>
      <w:r>
        <w:t xml:space="preserve"> E. W. Bullinger; W. E. Vine.</w:t>
      </w:r>
    </w:p>
  </w:footnote>
  <w:footnote w:id="19183">
    <w:p>
      <w:pPr>
        <w:pStyle w:val="rFootn"/>
      </w:pPr>
      <w:r>
        <w:rPr>
          <w:rStyle w:val="rFootnRef"/>
        </w:rPr>
        <w:footnoteRef/>
      </w:r>
      <w:r>
        <w:t xml:space="preserve"> Cf. Gordon Fee, </w:t>
      </w:r>
      <w:r>
        <w:rPr>
          <w:i/>
        </w:rPr>
        <w:t xml:space="preserve">The First Epistle to the Corinthians</w:t>
      </w:r>
      <w:r>
        <w:t xml:space="preserve"> [NICNT], 151.</w:t>
      </w:r>
    </w:p>
  </w:footnote>
  <w:footnote w:id="15089">
    <w:p>
      <w:pPr>
        <w:pStyle w:val="rFootn"/>
      </w:pPr>
      <w:r>
        <w:rPr>
          <w:rStyle w:val="rFootnRef"/>
        </w:rPr>
        <w:footnoteRef/>
      </w:r>
      <w:r>
        <w:t xml:space="preserve"> See E. W. Bullinger, </w:t>
      </w:r>
      <w:r>
        <w:rPr>
          <w:i/>
        </w:rPr>
        <w:t xml:space="preserve">Figures of Speech</w:t>
      </w:r>
      <w:r>
        <w:t xml:space="preserve">, 245, “epanadiplosis.”</w:t>
      </w:r>
    </w:p>
  </w:footnote>
  <w:footnote w:id="18065">
    <w:p>
      <w:pPr>
        <w:pStyle w:val="rFootn"/>
      </w:pPr>
      <w:r>
        <w:rPr>
          <w:rStyle w:val="rFootnRef"/>
        </w:rPr>
        <w:footnoteRef/>
      </w:r>
      <w:r>
        <w:t xml:space="preserve"> </w:t>
      </w:r>
      <w:r>
        <w:rPr>
          <w:i/>
        </w:rPr>
        <w:t xml:space="preserve">Thayer’s Greek-English Lexicon</w:t>
      </w:r>
      <w:r>
        <w:t xml:space="preserve">, s.v. “οἰκονόμος.”</w:t>
      </w:r>
    </w:p>
  </w:footnote>
  <w:footnote w:id="28616">
    <w:p>
      <w:pPr>
        <w:pStyle w:val="rFootn"/>
      </w:pPr>
      <w:r>
        <w:rPr>
          <w:rStyle w:val="rFootnRef"/>
        </w:rPr>
        <w:footnoteRef/>
      </w:r>
      <w:r>
        <w:t xml:space="preserve"> Robertson,</w:t>
      </w:r>
      <w:r>
        <w:rPr>
          <w:i/>
        </w:rPr>
        <w:t xml:space="preserve"> Word Pictures in the New Testament</w:t>
      </w:r>
      <w:r>
        <w:t xml:space="preserve">, 4:103.</w:t>
      </w:r>
    </w:p>
  </w:footnote>
  <w:footnote w:id="29431">
    <w:p>
      <w:pPr>
        <w:pStyle w:val="rFootn"/>
      </w:pPr>
      <w:r>
        <w:rPr>
          <w:rStyle w:val="rFootnRef"/>
        </w:rPr>
        <w:footnoteRef/>
      </w:r>
      <w:r>
        <w:t xml:space="preserve"> BDAG, s.v. “φυσιόω.”</w:t>
      </w:r>
    </w:p>
  </w:footnote>
  <w:footnote w:id="14618">
    <w:p>
      <w:pPr>
        <w:pStyle w:val="rFootn"/>
      </w:pPr>
      <w:r>
        <w:rPr>
          <w:rStyle w:val="rFootnRef"/>
        </w:rPr>
        <w:footnoteRef/>
      </w:r>
      <w:r>
        <w:t xml:space="preserve"> Lenski, </w:t>
      </w:r>
      <w:r>
        <w:rPr>
          <w:i/>
        </w:rPr>
        <w:t xml:space="preserve">St. Paul’s First and Second Epistles to the Corinthians</w:t>
      </w:r>
      <w:r>
        <w:t xml:space="preserve">, 209.</w:t>
      </w:r>
    </w:p>
  </w:footnote>
  <w:footnote w:id="19558">
    <w:p>
      <w:pPr>
        <w:pStyle w:val="rFootn"/>
      </w:pPr>
      <w:r>
        <w:rPr>
          <w:rStyle w:val="rFootnRef"/>
        </w:rPr>
        <w:footnoteRef/>
      </w:r>
      <w:r>
        <w:t xml:space="preserve"> Kistemaker, </w:t>
      </w:r>
      <w:r>
        <w:rPr>
          <w:i/>
        </w:rPr>
        <w:t xml:space="preserve">New Testament Commentary: 1 Corinthians</w:t>
      </w:r>
      <w:r>
        <w:t xml:space="preserve">.</w:t>
      </w:r>
    </w:p>
  </w:footnote>
  <w:footnote w:id="31248">
    <w:p>
      <w:pPr>
        <w:pStyle w:val="rFootn"/>
      </w:pPr>
      <w:r>
        <w:rPr>
          <w:rStyle w:val="rFootnRef"/>
        </w:rPr>
        <w:footnoteRef/>
      </w:r>
      <w:r>
        <w:t xml:space="preserve"> Paul Ellingworth and Howard A. Hatton, </w:t>
      </w:r>
      <w:r>
        <w:rPr>
          <w:i/>
        </w:rPr>
        <w:t xml:space="preserve">A Handbook on Paul’s First Letter to the Corinthians</w:t>
      </w:r>
      <w:r>
        <w:t xml:space="preserve">, UBS Handbook Series.</w:t>
      </w:r>
    </w:p>
  </w:footnote>
  <w:footnote w:id="12655">
    <w:p>
      <w:pPr>
        <w:pStyle w:val="rFootn"/>
      </w:pPr>
      <w:r>
        <w:rPr>
          <w:rStyle w:val="rFootnRef"/>
        </w:rPr>
        <w:footnoteRef/>
      </w:r>
      <w:r>
        <w:t xml:space="preserve"> C. K. Barrett, </w:t>
      </w:r>
      <w:r>
        <w:rPr>
          <w:i/>
        </w:rPr>
        <w:t xml:space="preserve">The First Epistle to the Corinthians</w:t>
      </w:r>
      <w:r>
        <w:t xml:space="preserve"> [BNTC], 124.</w:t>
      </w:r>
    </w:p>
  </w:footnote>
  <w:footnote w:id="14174">
    <w:p>
      <w:pPr>
        <w:pStyle w:val="rFootn"/>
      </w:pPr>
      <w:r>
        <w:rPr>
          <w:rStyle w:val="rFootnRef"/>
        </w:rPr>
        <w:footnoteRef/>
      </w:r>
      <w:r>
        <w:t xml:space="preserve"> See Bullinger, </w:t>
      </w:r>
      <w:r>
        <w:rPr>
          <w:i/>
        </w:rPr>
        <w:t xml:space="preserve">Figures of Speech</w:t>
      </w:r>
      <w:r>
        <w:t xml:space="preserve">, 538, “metonymy.”</w:t>
      </w:r>
    </w:p>
  </w:footnote>
  <w:footnote w:id="31633">
    <w:p>
      <w:pPr>
        <w:pStyle w:val="rFootn"/>
      </w:pPr>
      <w:r>
        <w:rPr>
          <w:rStyle w:val="rFootnRef"/>
        </w:rPr>
        <w:footnoteRef/>
      </w:r>
      <w:r>
        <w:t xml:space="preserve"> Kistemaker, </w:t>
      </w:r>
      <w:r>
        <w:rPr>
          <w:i/>
        </w:rPr>
        <w:t xml:space="preserve">New Testament Commentary: 1 Corinthians.</w:t>
      </w:r>
    </w:p>
  </w:footnote>
  <w:footnote w:id="31518">
    <w:p>
      <w:pPr>
        <w:pStyle w:val="rFootn"/>
      </w:pPr>
      <w:r>
        <w:rPr>
          <w:rStyle w:val="rFootnRef"/>
        </w:rPr>
        <w:footnoteRef/>
      </w:r>
      <w:r>
        <w:t xml:space="preserve"> R. C. H. Lenski, </w:t>
      </w:r>
      <w:r>
        <w:rPr>
          <w:i/>
        </w:rPr>
        <w:t xml:space="preserve">St. Paul’s First and Second Epistles to the Corinthians</w:t>
      </w:r>
      <w:r>
        <w:t xml:space="preserve">, 244.</w:t>
      </w:r>
    </w:p>
  </w:footnote>
  <w:footnote w:id="31960">
    <w:p>
      <w:pPr>
        <w:pStyle w:val="rFootn"/>
      </w:pPr>
      <w:r>
        <w:rPr>
          <w:rStyle w:val="rFootnRef"/>
        </w:rPr>
        <w:footnoteRef/>
      </w:r>
      <w:r>
        <w:t xml:space="preserve"> Cf. Lenski, </w:t>
      </w:r>
      <w:r>
        <w:rPr>
          <w:i/>
        </w:rPr>
        <w:t xml:space="preserve">St. Paul’s First and Second Epistles to the Corinthians</w:t>
      </w:r>
      <w:r>
        <w:t xml:space="preserve">, 248.</w:t>
      </w:r>
    </w:p>
  </w:footnote>
  <w:footnote w:id="30106">
    <w:p>
      <w:pPr>
        <w:pStyle w:val="rFootn"/>
      </w:pPr>
      <w:r>
        <w:rPr>
          <w:rStyle w:val="rFootnRef"/>
        </w:rPr>
        <w:footnoteRef/>
      </w:r>
      <w:r>
        <w:t xml:space="preserve"> Friberg, </w:t>
      </w:r>
      <w:r>
        <w:rPr>
          <w:i/>
        </w:rPr>
        <w:t xml:space="preserve">Analytical Lexicon</w:t>
      </w:r>
      <w:r>
        <w:t xml:space="preserve">, s.v. “λοίδορος”; cf. BDAG, s.v. “λοίδορος.”</w:t>
      </w:r>
    </w:p>
  </w:footnote>
  <w:footnote w:id="16335">
    <w:p>
      <w:pPr>
        <w:pStyle w:val="rFootn"/>
      </w:pPr>
      <w:r>
        <w:rPr>
          <w:rStyle w:val="rFootnRef"/>
        </w:rPr>
        <w:footnoteRef/>
      </w:r>
      <w:r>
        <w:t xml:space="preserve"> Nyland, </w:t>
      </w:r>
      <w:r>
        <w:rPr>
          <w:i/>
        </w:rPr>
        <w:t xml:space="preserve">The Source New Testament</w:t>
      </w:r>
      <w:r>
        <w:t xml:space="preserve">, 315n4.</w:t>
      </w:r>
    </w:p>
  </w:footnote>
  <w:footnote w:id="32653">
    <w:p>
      <w:pPr>
        <w:pStyle w:val="rFootn"/>
      </w:pPr>
      <w:r>
        <w:rPr>
          <w:rStyle w:val="rFootnRef"/>
        </w:rPr>
        <w:footnoteRef/>
      </w:r>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p>
  </w:footnote>
  <w:footnote w:id="23241">
    <w:p>
      <w:pPr>
        <w:pStyle w:val="rFootn"/>
      </w:pPr>
      <w:r>
        <w:rPr>
          <w:rStyle w:val="rFootnRef"/>
        </w:rPr>
        <w:footnoteRef/>
      </w:r>
      <w:r>
        <w:t xml:space="preserve"> Bullinger, </w:t>
      </w:r>
      <w:r>
        <w:rPr>
          <w:i/>
        </w:rPr>
        <w:t xml:space="preserve">Figures of Speech</w:t>
      </w:r>
      <w:r>
        <w:t xml:space="preserve">, 528-29, “heterosis.”</w:t>
      </w:r>
    </w:p>
  </w:footnote>
  <w:footnote w:id="27282">
    <w:p>
      <w:pPr>
        <w:pStyle w:val="rFootn"/>
      </w:pPr>
      <w:r>
        <w:rPr>
          <w:rStyle w:val="rFootnRef"/>
        </w:rPr>
        <w:footnoteRef/>
      </w:r>
      <w:r>
        <w:t xml:space="preserve"> David Instone-Brewer, </w:t>
      </w:r>
      <w:r>
        <w:rPr>
          <w:i/>
        </w:rPr>
        <w:t xml:space="preserve">Divorce and Remarriage in the Church</w:t>
      </w:r>
      <w:r>
        <w:t xml:space="preserve">, 177.</w:t>
      </w:r>
    </w:p>
  </w:footnote>
  <w:footnote w:id="28328">
    <w:p>
      <w:pPr>
        <w:pStyle w:val="rFootn"/>
      </w:pPr>
      <w:r>
        <w:rPr>
          <w:rStyle w:val="rFootnRef"/>
        </w:rPr>
        <w:footnoteRef/>
      </w:r>
      <w:r>
        <w:t xml:space="preserve"> BDAG, s.v. “ὀφειλή.”</w:t>
      </w:r>
    </w:p>
  </w:footnote>
  <w:footnote w:id="19120">
    <w:p>
      <w:pPr>
        <w:pStyle w:val="rFootn"/>
      </w:pPr>
      <w:r>
        <w:rPr>
          <w:rStyle w:val="rFootnRef"/>
        </w:rPr>
        <w:footnoteRef/>
      </w:r>
      <w:r>
        <w:t xml:space="preserve"> </w:t>
      </w:r>
      <w:r>
        <w:rPr>
          <w:i/>
        </w:rPr>
        <w:t xml:space="preserve">Thayer’s Greek-English Lexicon</w:t>
      </w:r>
      <w:r>
        <w:t xml:space="preserve">, s.v. “σύμφωνος.”</w:t>
      </w:r>
    </w:p>
  </w:footnote>
  <w:footnote w:id="12811">
    <w:p>
      <w:pPr>
        <w:pStyle w:val="rFootn"/>
      </w:pPr>
      <w:r>
        <w:rPr>
          <w:rStyle w:val="rFootnRef"/>
        </w:rPr>
        <w:footnoteRef/>
      </w:r>
      <w:r>
        <w:t xml:space="preserve"> Also see Lenski’s translation, </w:t>
      </w:r>
      <w:r>
        <w:rPr>
          <w:i/>
        </w:rPr>
        <w:t xml:space="preserve">First and Second Epistles to the Corinthians</w:t>
      </w:r>
      <w:r>
        <w:t xml:space="preserve">, 277.</w:t>
      </w:r>
    </w:p>
  </w:footnote>
  <w:footnote w:id="26974">
    <w:p>
      <w:pPr>
        <w:pStyle w:val="rFootn"/>
      </w:pPr>
      <w:r>
        <w:rPr>
          <w:rStyle w:val="rFootnRef"/>
        </w:rPr>
        <w:footnoteRef/>
      </w:r>
      <w:r>
        <w:t xml:space="preserve"> </w:t>
      </w:r>
      <w:r>
        <w:rPr>
          <w:i/>
        </w:rPr>
        <w:t xml:space="preserve">Thayer’s Greek-English Lexicon</w:t>
      </w:r>
      <w:r>
        <w:t xml:space="preserve">, s.v. “χωρίζω.”</w:t>
      </w:r>
    </w:p>
  </w:footnote>
  <w:footnote w:id="10421">
    <w:p>
      <w:pPr>
        <w:pStyle w:val="rFootn"/>
      </w:pPr>
      <w:r>
        <w:rPr>
          <w:rStyle w:val="rFootnRef"/>
        </w:rPr>
        <w:footnoteRef/>
      </w:r>
      <w:r>
        <w:t xml:space="preserve"> Cf. Wikipedia, “Religion and circumcision,” accessed January 22, 2024, https://en.wikipedia.org/wiki/Religion_and_circumcision.</w:t>
      </w:r>
    </w:p>
  </w:footnote>
  <w:footnote w:id="17402">
    <w:p>
      <w:pPr>
        <w:pStyle w:val="rFootn"/>
      </w:pPr>
      <w:r>
        <w:rPr>
          <w:rStyle w:val="rFootnRef"/>
        </w:rPr>
        <w:footnoteRef/>
      </w:r>
      <w:r>
        <w:t xml:space="preserve"> Lenski, </w:t>
      </w:r>
      <w:r>
        <w:rPr>
          <w:i/>
        </w:rPr>
        <w:t xml:space="preserve">First and Second Epistles to the Corinthians</w:t>
      </w:r>
      <w:r>
        <w:t xml:space="preserve">, 302.</w:t>
      </w:r>
    </w:p>
  </w:footnote>
  <w:footnote w:id="14963">
    <w:p>
      <w:pPr>
        <w:pStyle w:val="rFootn"/>
      </w:pPr>
      <w:r>
        <w:rPr>
          <w:rStyle w:val="rFootnRef"/>
        </w:rPr>
        <w:footnoteRef/>
      </w:r>
      <w:r>
        <w:t xml:space="preserve"> Cf. Lenski, </w:t>
      </w:r>
      <w:r>
        <w:rPr>
          <w:i/>
        </w:rPr>
        <w:t xml:space="preserve">Corinthians</w:t>
      </w:r>
      <w:r>
        <w:t xml:space="preserve">, 302-304.</w:t>
      </w:r>
    </w:p>
  </w:footnote>
  <w:footnote w:id="29532">
    <w:p>
      <w:pPr>
        <w:pStyle w:val="rFootn"/>
      </w:pPr>
      <w:r>
        <w:rPr>
          <w:rStyle w:val="rFootnRef"/>
        </w:rPr>
        <w:footnoteRef/>
      </w:r>
      <w:r>
        <w:t xml:space="preserve"> R. C. H. Lenski, </w:t>
      </w:r>
      <w:r>
        <w:rPr>
          <w:i/>
        </w:rPr>
        <w:t xml:space="preserve">St. Paul’s First and Second Epistles to the Corinthians</w:t>
      </w:r>
      <w:r>
        <w:t xml:space="preserve">, 335-36.</w:t>
      </w:r>
    </w:p>
  </w:footnote>
  <w:footnote w:id="22755">
    <w:p>
      <w:pPr>
        <w:pStyle w:val="rFootn"/>
      </w:pPr>
      <w:r>
        <w:rPr>
          <w:rStyle w:val="rFootnRef"/>
        </w:rPr>
        <w:footnoteRef/>
      </w:r>
      <w:r>
        <w:t xml:space="preserve"> Thayer, s.v. “εἴδωλον.”</w:t>
      </w:r>
    </w:p>
  </w:footnote>
  <w:footnote w:id="12884">
    <w:p>
      <w:pPr>
        <w:pStyle w:val="rFootn"/>
      </w:pPr>
      <w:r>
        <w:rPr>
          <w:rStyle w:val="rFootnRef"/>
        </w:rPr>
        <w:footnoteRef/>
      </w:r>
      <w:r>
        <w:t xml:space="preserve"> Cf. Lenski, </w:t>
      </w:r>
      <w:r>
        <w:rPr>
          <w:i/>
        </w:rPr>
        <w:t xml:space="preserve">First and Second Epistles to the Corinthians</w:t>
      </w:r>
      <w:r>
        <w:t xml:space="preserve">, 337-39.</w:t>
      </w:r>
    </w:p>
  </w:footnote>
  <w:footnote w:id="16726">
    <w:p>
      <w:pPr>
        <w:pStyle w:val="rFootn"/>
      </w:pPr>
      <w:r>
        <w:rPr>
          <w:rStyle w:val="rFootnRef"/>
        </w:rPr>
        <w:footnoteRef/>
      </w:r>
      <w:r>
        <w:t xml:space="preserve"> See Adolf Deissmann, </w:t>
      </w:r>
      <w:r>
        <w:rPr>
          <w:i/>
        </w:rPr>
        <w:t xml:space="preserve">Light from the ancient East</w:t>
      </w:r>
      <w:r>
        <w:t xml:space="preserve">, 353-55.</w:t>
      </w:r>
    </w:p>
  </w:footnote>
  <w:footnote w:id="13701">
    <w:p>
      <w:pPr>
        <w:pStyle w:val="rFootn"/>
      </w:pPr>
      <w:r>
        <w:rPr>
          <w:rStyle w:val="rFootnRef"/>
        </w:rPr>
        <w:footnoteRef/>
      </w:r>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p>
  </w:footnote>
  <w:footnote w:id="30322">
    <w:p>
      <w:pPr>
        <w:pStyle w:val="rFootn"/>
      </w:pPr>
      <w:r>
        <w:rPr>
          <w:rStyle w:val="rFootnRef"/>
        </w:rPr>
        <w:footnoteRef/>
      </w:r>
      <w:r>
        <w:t xml:space="preserve"> Nestle-Aland 28th Edition: Critical Apparatus, 532.</w:t>
      </w:r>
    </w:p>
  </w:footnote>
  <w:footnote w:id="25640">
    <w:p>
      <w:pPr>
        <w:pStyle w:val="rFootn"/>
      </w:pPr>
      <w:r>
        <w:rPr>
          <w:rStyle w:val="rFootnRef"/>
        </w:rPr>
        <w:footnoteRef/>
      </w:r>
      <w:r>
        <w:t xml:space="preserve"> See BDAG, s.v.“ παρίστημι,” definition “e.”</w:t>
      </w:r>
    </w:p>
  </w:footnote>
  <w:footnote w:id="25127">
    <w:p>
      <w:pPr>
        <w:pStyle w:val="rFootn"/>
      </w:pPr>
      <w:r>
        <w:rPr>
          <w:rStyle w:val="rFootnRef"/>
        </w:rPr>
        <w:footnoteRef/>
      </w:r>
      <w:r>
        <w:t xml:space="preserve"> Thayer, s.v. “παρίστημι.”</w:t>
      </w:r>
    </w:p>
  </w:footnote>
  <w:footnote w:id="15470">
    <w:p>
      <w:pPr>
        <w:pStyle w:val="rFootn"/>
      </w:pPr>
      <w:r>
        <w:rPr>
          <w:rStyle w:val="rFootnRef"/>
        </w:rPr>
        <w:footnoteRef/>
      </w:r>
      <w:r>
        <w:t xml:space="preserve"> Thayer, s.v. “περισσεύω.”</w:t>
      </w:r>
    </w:p>
  </w:footnote>
  <w:footnote w:id="13467">
    <w:p>
      <w:pPr>
        <w:pStyle w:val="rFootn"/>
      </w:pPr>
      <w:r>
        <w:rPr>
          <w:rStyle w:val="rFootnRef"/>
        </w:rPr>
        <w:footnoteRef/>
      </w:r>
      <w:r>
        <w:t xml:space="preserve"> Robertson, </w:t>
      </w:r>
      <w:r>
        <w:rPr>
          <w:i/>
        </w:rPr>
        <w:t xml:space="preserve">Word Pictures in the New Testament</w:t>
      </w:r>
      <w:r>
        <w:t xml:space="preserve">, 4:140.</w:t>
      </w:r>
    </w:p>
  </w:footnote>
  <w:footnote w:id="14823">
    <w:p>
      <w:pPr>
        <w:pStyle w:val="rFootn"/>
      </w:pPr>
      <w:r>
        <w:rPr>
          <w:rStyle w:val="rFootnRef"/>
        </w:rPr>
        <w:footnoteRef/>
      </w:r>
      <w:r>
        <w:t xml:space="preserve"> BDAG, s.v. “πάντως.”</w:t>
      </w:r>
    </w:p>
  </w:footnote>
  <w:footnote w:id="22074">
    <w:p>
      <w:pPr>
        <w:pStyle w:val="rFootn"/>
      </w:pPr>
      <w:r>
        <w:rPr>
          <w:rStyle w:val="rFootnRef"/>
        </w:rPr>
        <w:footnoteRef/>
      </w:r>
      <w:r>
        <w:t xml:space="preserve"> Bullinger, </w:t>
      </w:r>
      <w:r>
        <w:rPr>
          <w:i/>
        </w:rPr>
        <w:t xml:space="preserve">Figures of Speech</w:t>
      </w:r>
      <w:r>
        <w:t xml:space="preserve">, 804-06, “amphibologia.”</w:t>
      </w:r>
    </w:p>
  </w:footnote>
  <w:footnote w:id="13248">
    <w:p>
      <w:pPr>
        <w:pStyle w:val="rFootn"/>
      </w:pPr>
      <w:r>
        <w:rPr>
          <w:rStyle w:val="rFootnRef"/>
        </w:rPr>
        <w:footnoteRef/>
      </w:r>
      <w:r>
        <w:t xml:space="preserve"> Stephen G. Miller, </w:t>
      </w:r>
      <w:r>
        <w:rPr>
          <w:i/>
        </w:rPr>
        <w:t xml:space="preserve">Ancient Greek Athletics</w:t>
      </w:r>
      <w:r>
        <w:t xml:space="preserve">, 11.</w:t>
      </w:r>
    </w:p>
  </w:footnote>
  <w:footnote w:id="12564">
    <w:p>
      <w:pPr>
        <w:pStyle w:val="rFootn"/>
      </w:pPr>
      <w:r>
        <w:rPr>
          <w:rStyle w:val="rFootnRef"/>
        </w:rPr>
        <w:footnoteRef/>
      </w:r>
      <w:r>
        <w:t xml:space="preserve"> Fee, </w:t>
      </w:r>
      <w:r>
        <w:rPr>
          <w:i/>
        </w:rPr>
        <w:t xml:space="preserve">The First Epistle to the Corinthians</w:t>
      </w:r>
      <w:r>
        <w:t xml:space="preserve"> [NICNT], 435-37.</w:t>
      </w:r>
    </w:p>
  </w:footnote>
  <w:footnote w:id="16607">
    <w:p>
      <w:pPr>
        <w:pStyle w:val="rFootn"/>
      </w:pPr>
      <w:r>
        <w:rPr>
          <w:rStyle w:val="rFootnRef"/>
        </w:rPr>
        <w:footnoteRef/>
      </w:r>
      <w:r>
        <w:t xml:space="preserve"> BDAG, s.v. “ἀδήλως.”</w:t>
      </w:r>
    </w:p>
  </w:footnote>
  <w:footnote w:id="29358">
    <w:p>
      <w:pPr>
        <w:pStyle w:val="rFootn"/>
      </w:pPr>
      <w:r>
        <w:rPr>
          <w:rStyle w:val="rFootnRef"/>
        </w:rPr>
        <w:footnoteRef/>
      </w:r>
      <w:r>
        <w:t xml:space="preserve"> BDAG </w:t>
      </w:r>
      <w:r>
        <w:rPr>
          <w:i/>
        </w:rPr>
        <w:t xml:space="preserve">Greek-English Lexicon</w:t>
      </w:r>
      <w:r>
        <w:t xml:space="preserve">, s.v. “ὑπωπιάζω.”</w:t>
      </w:r>
    </w:p>
  </w:footnote>
  <w:footnote w:id="26311">
    <w:p>
      <w:pPr>
        <w:pStyle w:val="rFootn"/>
      </w:pPr>
      <w:r>
        <w:rPr>
          <w:rStyle w:val="rFootnRef"/>
        </w:rPr>
        <w:footnoteRef/>
      </w:r>
      <w:r>
        <w:t xml:space="preserve"> Bart Ehrman, </w:t>
      </w:r>
      <w:r>
        <w:rPr>
          <w:i/>
        </w:rPr>
        <w:t xml:space="preserve">The Orthodox Corruption of Scripture</w:t>
      </w:r>
      <w:r>
        <w:t xml:space="preserve">, 89-90.</w:t>
      </w:r>
    </w:p>
  </w:footnote>
  <w:footnote w:id="14339">
    <w:p>
      <w:pPr>
        <w:pStyle w:val="rFootn"/>
      </w:pPr>
      <w:r>
        <w:rPr>
          <w:rStyle w:val="rFootnRef"/>
        </w:rPr>
        <w:footnoteRef/>
      </w:r>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p>
  </w:footnote>
  <w:footnote w:id="21198">
    <w:p>
      <w:pPr>
        <w:pStyle w:val="rFootn"/>
      </w:pPr>
      <w:r>
        <w:rPr>
          <w:rStyle w:val="rFootnRef"/>
        </w:rPr>
        <w:footnoteRef/>
      </w:r>
      <w:r>
        <w:t xml:space="preserve"> R. C. H. Lenski, </w:t>
      </w:r>
      <w:r>
        <w:rPr>
          <w:i/>
        </w:rPr>
        <w:t xml:space="preserve">St. Paul’s First and Second Epistles to the Corinthians</w:t>
      </w:r>
      <w:r>
        <w:t xml:space="preserve">, 403.</w:t>
      </w:r>
    </w:p>
  </w:footnote>
  <w:footnote w:id="29618">
    <w:p>
      <w:pPr>
        <w:pStyle w:val="rFootn"/>
      </w:pPr>
      <w:r>
        <w:rPr>
          <w:rStyle w:val="rFootnRef"/>
        </w:rPr>
        <w:footnoteRef/>
      </w:r>
      <w:r>
        <w:t xml:space="preserve"> R. C. H. Lenski, </w:t>
      </w:r>
      <w:r>
        <w:rPr>
          <w:i/>
        </w:rPr>
        <w:t xml:space="preserve">First and Second Epistles to the Corinthians</w:t>
      </w:r>
      <w:r>
        <w:t xml:space="preserve">, 425-26.</w:t>
      </w:r>
    </w:p>
  </w:footnote>
  <w:footnote w:id="19957">
    <w:p>
      <w:pPr>
        <w:pStyle w:val="rFootn"/>
      </w:pPr>
      <w:r>
        <w:rPr>
          <w:rStyle w:val="rFootnRef"/>
        </w:rPr>
        <w:footnoteRef/>
      </w:r>
      <w:r>
        <w:t xml:space="preserve"> Bullinger, </w:t>
      </w:r>
      <w:r>
        <w:rPr>
          <w:i/>
        </w:rPr>
        <w:t xml:space="preserve">Figures of Speech</w:t>
      </w:r>
      <w:r>
        <w:t xml:space="preserve">, 808-06, “amphibologia” (“double entendre”).</w:t>
      </w:r>
    </w:p>
  </w:footnote>
  <w:footnote w:id="32350">
    <w:p>
      <w:pPr>
        <w:pStyle w:val="rFootn"/>
      </w:pPr>
      <w:r>
        <w:rPr>
          <w:rStyle w:val="rFootnRef"/>
        </w:rPr>
        <w:footnoteRef/>
      </w:r>
      <w:r>
        <w:t xml:space="preserve"> Gordon Fee, </w:t>
      </w:r>
      <w:r>
        <w:rPr>
          <w:i/>
        </w:rPr>
        <w:t xml:space="preserve">The First Epistle to the Corinthians</w:t>
      </w:r>
      <w:r>
        <w:t xml:space="preserve"> [NICNT], 578.</w:t>
      </w:r>
    </w:p>
  </w:footnote>
  <w:footnote w:id="32414">
    <w:p>
      <w:pPr>
        <w:pStyle w:val="rFootn"/>
      </w:pPr>
      <w:r>
        <w:rPr>
          <w:rStyle w:val="rFootnRef"/>
        </w:rPr>
        <w:footnoteRef/>
      </w:r>
      <w:r>
        <w:t xml:space="preserve"> R. C. H. Lenski, St. Paul’s First and Second Epistles to the Corinthians, 494.</w:t>
      </w:r>
    </w:p>
  </w:footnote>
  <w:footnote w:id="23210">
    <w:p>
      <w:pPr>
        <w:pStyle w:val="rFootn"/>
      </w:pPr>
      <w:r>
        <w:rPr>
          <w:rStyle w:val="rFootnRef"/>
        </w:rPr>
        <w:footnoteRef/>
      </w:r>
      <w:r>
        <w:t xml:space="preserve"> Wallace, </w:t>
      </w:r>
      <w:r>
        <w:rPr>
          <w:i/>
        </w:rPr>
        <w:t xml:space="preserve">Greek Grammar Beyond the Basics</w:t>
      </w:r>
      <w:r>
        <w:t xml:space="preserve">, 247.</w:t>
      </w:r>
    </w:p>
  </w:footnote>
  <w:footnote w:id="31392">
    <w:p>
      <w:pPr>
        <w:pStyle w:val="rFootn"/>
      </w:pPr>
      <w:r>
        <w:rPr>
          <w:rStyle w:val="rFootnRef"/>
        </w:rPr>
        <w:footnoteRef/>
      </w:r>
      <w:r>
        <w:t xml:space="preserve"> Robertson, </w:t>
      </w:r>
      <w:r>
        <w:rPr>
          <w:i/>
        </w:rPr>
        <w:t xml:space="preserve">Grammar of the Greek New Testament</w:t>
      </w:r>
      <w:r>
        <w:t xml:space="preserve">, 790-92.</w:t>
      </w:r>
    </w:p>
  </w:footnote>
  <w:footnote w:id="30531">
    <w:p>
      <w:pPr>
        <w:pStyle w:val="rFootn"/>
      </w:pPr>
      <w:r>
        <w:rPr>
          <w:rStyle w:val="rFootnRef"/>
        </w:rPr>
        <w:footnoteRef/>
      </w:r>
      <w:r>
        <w:t xml:space="preserve"> See Lenski, </w:t>
      </w:r>
      <w:r>
        <w:rPr>
          <w:i/>
        </w:rPr>
        <w:t xml:space="preserve">First and Second Epistles to the Corinthians</w:t>
      </w:r>
      <w:r>
        <w:t xml:space="preserve">, 495; C. K. Barrett [BNTC], 283; Rotherham.</w:t>
      </w:r>
    </w:p>
  </w:footnote>
  <w:footnote w:id="21422">
    <w:p>
      <w:pPr>
        <w:pStyle w:val="rFootn"/>
      </w:pPr>
      <w:r>
        <w:rPr>
          <w:rStyle w:val="rFootnRef"/>
        </w:rPr>
        <w:footnoteRef/>
      </w:r>
      <w:r>
        <w:t xml:space="preserve"> Louw and Nida, </w:t>
      </w:r>
      <w:r>
        <w:rPr>
          <w:i/>
        </w:rPr>
        <w:t xml:space="preserve">Greek English Lexicon</w:t>
      </w:r>
      <w:r>
        <w:t xml:space="preserve">, s.v. “φανέρωσις.”</w:t>
      </w:r>
    </w:p>
  </w:footnote>
  <w:footnote w:id="11344">
    <w:p>
      <w:pPr>
        <w:pStyle w:val="rFootn"/>
      </w:pPr>
      <w:r>
        <w:rPr>
          <w:rStyle w:val="rFootnRef"/>
        </w:rPr>
        <w:footnoteRef/>
      </w:r>
      <w:r>
        <w:t xml:space="preserve"> Thayer, </w:t>
      </w:r>
      <w:r>
        <w:rPr>
          <w:i/>
        </w:rPr>
        <w:t xml:space="preserve">Thayer’s Greek-English Lexicon</w:t>
      </w:r>
      <w:r>
        <w:t xml:space="preserve">, s.v. “λόγος.”</w:t>
      </w:r>
    </w:p>
  </w:footnote>
  <w:footnote w:id="19160">
    <w:p>
      <w:pPr>
        <w:pStyle w:val="rFootn"/>
      </w:pPr>
      <w:r>
        <w:rPr>
          <w:rStyle w:val="rFootnRef"/>
        </w:rPr>
        <w:footnoteRef/>
      </w:r>
      <w:r>
        <w:t xml:space="preserve"> See Joseph Free, </w:t>
      </w:r>
      <w:r>
        <w:rPr>
          <w:i/>
        </w:rPr>
        <w:t xml:space="preserve">Archaeology and Bible History</w:t>
      </w:r>
      <w:r>
        <w:t xml:space="preserve">, 108.</w:t>
      </w:r>
    </w:p>
  </w:footnote>
  <w:footnote w:id="30952">
    <w:p>
      <w:pPr>
        <w:pStyle w:val="rFootn"/>
      </w:pPr>
      <w:r>
        <w:rPr>
          <w:rStyle w:val="rFootnRef"/>
        </w:rPr>
        <w:footnoteRef/>
      </w:r>
      <w:r>
        <w:t xml:space="preserve"> Archibald Robertson and Alfred Plummer, </w:t>
      </w:r>
      <w:r>
        <w:rPr>
          <w:i/>
        </w:rPr>
        <w:t xml:space="preserve">The First Epistle of St. Paul to the Corinthians</w:t>
      </w:r>
      <w:r>
        <w:t xml:space="preserve"> [ICC], 265.</w:t>
      </w:r>
    </w:p>
  </w:footnote>
  <w:footnote w:id="18418">
    <w:p>
      <w:pPr>
        <w:pStyle w:val="rFootn"/>
      </w:pPr>
      <w:r>
        <w:rPr>
          <w:rStyle w:val="rFootnRef"/>
        </w:rPr>
        <w:footnoteRef/>
      </w:r>
      <w:r>
        <w:t xml:space="preserve"> </w:t>
      </w:r>
      <w:r>
        <w:rPr>
          <w:i/>
        </w:rPr>
        <w:t xml:space="preserve">Merriam-Webster’s Collegiate Dictionary</w:t>
      </w:r>
      <w:r>
        <w:t xml:space="preserve">, 11th ed.</w:t>
      </w:r>
    </w:p>
  </w:footnote>
  <w:footnote w:id="32290">
    <w:p>
      <w:pPr>
        <w:pStyle w:val="rFootn"/>
      </w:pPr>
      <w:r>
        <w:rPr>
          <w:rStyle w:val="rFootnRef"/>
        </w:rPr>
        <w:footnoteRef/>
      </w:r>
      <w:r>
        <w:t xml:space="preserve"> BDAG </w:t>
      </w:r>
      <w:r>
        <w:rPr>
          <w:i/>
        </w:rPr>
        <w:t xml:space="preserve">Greek-English Lexicon</w:t>
      </w:r>
      <w:r>
        <w:t xml:space="preserve">, s.v. “διάκρισις.”</w:t>
      </w:r>
    </w:p>
  </w:footnote>
  <w:footnote w:id="23549">
    <w:p>
      <w:pPr>
        <w:pStyle w:val="rFootn"/>
      </w:pPr>
      <w:r>
        <w:rPr>
          <w:rStyle w:val="rFootnRef"/>
        </w:rPr>
        <w:footnoteRef/>
      </w:r>
      <w:r>
        <w:t xml:space="preserve"> Liddell and Scott, </w:t>
      </w:r>
      <w:r>
        <w:rPr>
          <w:i/>
        </w:rPr>
        <w:t xml:space="preserve">Greek-English Lexicon</w:t>
      </w:r>
      <w:r>
        <w:t xml:space="preserve">, s.v. “διάκρισις.”</w:t>
      </w:r>
    </w:p>
  </w:footnote>
  <w:footnote w:id="22656">
    <w:p>
      <w:pPr>
        <w:pStyle w:val="rFootn"/>
      </w:pPr>
      <w:r>
        <w:rPr>
          <w:rStyle w:val="rFootnRef"/>
        </w:rPr>
        <w:footnoteRef/>
      </w:r>
      <w:r>
        <w:t xml:space="preserve"> BDAG </w:t>
      </w:r>
      <w:r>
        <w:rPr>
          <w:i/>
        </w:rPr>
        <w:t xml:space="preserve">Greek-English Lexicon</w:t>
      </w:r>
      <w:r>
        <w:t xml:space="preserve">, s.v. “φιλέω.”</w:t>
      </w:r>
    </w:p>
  </w:footnote>
  <w:footnote w:id="20912">
    <w:p>
      <w:pPr>
        <w:pStyle w:val="rFootn"/>
      </w:pPr>
      <w:r>
        <w:rPr>
          <w:rStyle w:val="rFootnRef"/>
        </w:rPr>
        <w:footnoteRef/>
      </w:r>
      <w:r>
        <w:t xml:space="preserve"> Quoted in Jerome Murphy-O’Connor, </w:t>
      </w:r>
      <w:r>
        <w:rPr>
          <w:i/>
        </w:rPr>
        <w:t xml:space="preserve">St. Paul’s Corinth</w:t>
      </w:r>
      <w:r>
        <w:t xml:space="preserve">, 75.</w:t>
      </w:r>
    </w:p>
  </w:footnote>
  <w:footnote w:id="28153">
    <w:p>
      <w:pPr>
        <w:pStyle w:val="rFootn"/>
      </w:pPr>
      <w:r>
        <w:rPr>
          <w:rStyle w:val="rFootnRef"/>
        </w:rPr>
        <w:footnoteRef/>
      </w:r>
      <w:r>
        <w:t xml:space="preserve"> Anthony C. Thiselton, </w:t>
      </w:r>
      <w:r>
        <w:rPr>
          <w:i/>
        </w:rPr>
        <w:t xml:space="preserve">The First Epistle to the Corinthians: A Commentary on the Greek Text</w:t>
      </w:r>
      <w:r>
        <w:t xml:space="preserve"> [NIGTC], 1060.</w:t>
      </w:r>
    </w:p>
  </w:footnote>
  <w:footnote w:id="27692">
    <w:p>
      <w:pPr>
        <w:pStyle w:val="rFootn"/>
      </w:pPr>
      <w:r>
        <w:rPr>
          <w:rStyle w:val="rFootnRef"/>
        </w:rPr>
        <w:footnoteRef/>
      </w:r>
      <w:r>
        <w:t xml:space="preserve"> Thayer, </w:t>
      </w:r>
      <w:r>
        <w:rPr>
          <w:i/>
        </w:rPr>
        <w:t xml:space="preserve">Thayer’s Greek-English Lexicon</w:t>
      </w:r>
      <w:r>
        <w:t xml:space="preserve">, s.v. “τέλειος.”</w:t>
      </w:r>
    </w:p>
  </w:footnote>
  <w:footnote w:id="21343">
    <w:p>
      <w:pPr>
        <w:pStyle w:val="rFootn"/>
      </w:pPr>
      <w:r>
        <w:rPr>
          <w:rStyle w:val="rFootnRef"/>
        </w:rPr>
        <w:footnoteRef/>
      </w:r>
      <w:r>
        <w:t xml:space="preserve"> Lenski, </w:t>
      </w:r>
      <w:r>
        <w:rPr>
          <w:i/>
        </w:rPr>
        <w:t xml:space="preserve">St. Paul’s First and Second Epistles to the Corinthians</w:t>
      </w:r>
      <w:r>
        <w:t xml:space="preserve">, 566.</w:t>
      </w:r>
    </w:p>
  </w:footnote>
  <w:footnote w:id="11437">
    <w:p>
      <w:pPr>
        <w:pStyle w:val="rFootn"/>
      </w:pPr>
      <w:r>
        <w:rPr>
          <w:rStyle w:val="rFootnRef"/>
        </w:rPr>
        <w:footnoteRef/>
      </w:r>
      <w:r>
        <w:t xml:space="preserve"> Fee, </w:t>
      </w:r>
      <w:r>
        <w:rPr>
          <w:i/>
        </w:rPr>
        <w:t xml:space="preserve">Corinthians</w:t>
      </w:r>
      <w:r>
        <w:t xml:space="preserve"> [NICNT], 646.</w:t>
      </w:r>
    </w:p>
  </w:footnote>
  <w:footnote w:id="10927">
    <w:p>
      <w:pPr>
        <w:pStyle w:val="rFootn"/>
      </w:pPr>
      <w:r>
        <w:rPr>
          <w:rStyle w:val="rFootnRef"/>
        </w:rPr>
        <w:footnoteRef/>
      </w:r>
      <w:r>
        <w:t xml:space="preserve"> Ray Collins, </w:t>
      </w:r>
      <w:r>
        <w:rPr>
          <w:i/>
        </w:rPr>
        <w:t xml:space="preserve">First Corinthians</w:t>
      </w:r>
      <w:r>
        <w:t xml:space="preserve">, Sacra Pagina, 486.</w:t>
      </w:r>
    </w:p>
  </w:footnote>
  <w:footnote w:id="28717">
    <w:p>
      <w:pPr>
        <w:pStyle w:val="rFootn"/>
      </w:pPr>
      <w:r>
        <w:rPr>
          <w:rStyle w:val="rFootnRef"/>
        </w:rPr>
        <w:footnoteRef/>
      </w:r>
      <w:r>
        <w:t xml:space="preserve"> Richard B. Hays, </w:t>
      </w:r>
      <w:r>
        <w:rPr>
          <w:i/>
        </w:rPr>
        <w:t xml:space="preserve">First Corinthians</w:t>
      </w:r>
      <w:r>
        <w:t xml:space="preserve">, 229-30.</w:t>
      </w:r>
    </w:p>
  </w:footnote>
  <w:footnote w:id="31600">
    <w:p>
      <w:pPr>
        <w:pStyle w:val="rFootn"/>
      </w:pPr>
      <w:r>
        <w:rPr>
          <w:rStyle w:val="rFootnRef"/>
        </w:rPr>
        <w:footnoteRef/>
      </w:r>
      <w:r>
        <w:t xml:space="preserve"> Cf. Kistemaker, </w:t>
      </w:r>
      <w:r>
        <w:rPr>
          <w:i/>
        </w:rPr>
        <w:t xml:space="preserve">New Testament Commentary: 1 Corinthians</w:t>
      </w:r>
      <w:r>
        <w:t xml:space="preserve">.</w:t>
      </w:r>
    </w:p>
  </w:footnote>
  <w:footnote w:id="13510">
    <w:p>
      <w:pPr>
        <w:pStyle w:val="rFootn"/>
      </w:pPr>
      <w:r>
        <w:rPr>
          <w:rStyle w:val="rFootnRef"/>
        </w:rPr>
        <w:footnoteRef/>
      </w:r>
      <w:r>
        <w:t xml:space="preserve"> BDAG, s.v. “αἴνιγμα.”</w:t>
      </w:r>
    </w:p>
  </w:footnote>
  <w:footnote w:id="28033">
    <w:p>
      <w:pPr>
        <w:pStyle w:val="rFootn"/>
      </w:pPr>
      <w:r>
        <w:rPr>
          <w:rStyle w:val="rFootnRef"/>
        </w:rPr>
        <w:footnoteRef/>
      </w:r>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p>
  </w:footnote>
  <w:footnote w:id="22016">
    <w:p>
      <w:pPr>
        <w:pStyle w:val="rFootn"/>
      </w:pPr>
      <w:r>
        <w:rPr>
          <w:rStyle w:val="rFootnRef"/>
        </w:rPr>
        <w:footnoteRef/>
      </w:r>
      <w:r>
        <w:t xml:space="preserve"> Louw and Nida </w:t>
      </w:r>
      <w:r>
        <w:rPr>
          <w:i/>
        </w:rPr>
        <w:t xml:space="preserve">Greek English Lexicon</w:t>
      </w:r>
      <w:r>
        <w:t xml:space="preserve">, s.v. “διώκω.”</w:t>
      </w:r>
    </w:p>
  </w:footnote>
  <w:footnote w:id="26592">
    <w:p>
      <w:pPr>
        <w:pStyle w:val="rFootn"/>
      </w:pPr>
      <w:r>
        <w:rPr>
          <w:rStyle w:val="rFootnRef"/>
        </w:rPr>
        <w:footnoteRef/>
      </w:r>
      <w:r>
        <w:t xml:space="preserve"> BDAG, s.v. “διώκω.”</w:t>
      </w:r>
    </w:p>
  </w:footnote>
  <w:footnote w:id="16398">
    <w:p>
      <w:pPr>
        <w:pStyle w:val="rFootn"/>
      </w:pPr>
      <w:r>
        <w:rPr>
          <w:rStyle w:val="rFootnRef"/>
        </w:rPr>
        <w:footnoteRef/>
      </w:r>
      <w:r>
        <w:t xml:space="preserve"> Gordon Fee, </w:t>
      </w:r>
      <w:r>
        <w:rPr>
          <w:i/>
        </w:rPr>
        <w:t xml:space="preserve">The First Epistle to the Corinthians</w:t>
      </w:r>
      <w:r>
        <w:t xml:space="preserve"> [NICNT], 655.</w:t>
      </w:r>
    </w:p>
  </w:footnote>
  <w:footnote w:id="16610">
    <w:p>
      <w:pPr>
        <w:pStyle w:val="rFootn"/>
      </w:pPr>
      <w:r>
        <w:rPr>
          <w:rStyle w:val="rFootnRef"/>
        </w:rPr>
        <w:footnoteRef/>
      </w:r>
      <w:r>
        <w:t xml:space="preserve"> R. C. H. Lenski, </w:t>
      </w:r>
      <w:r>
        <w:rPr>
          <w:i/>
        </w:rPr>
        <w:t xml:space="preserve">St. Paul’s First and Second Epistles to the Corinthians</w:t>
      </w:r>
      <w:r>
        <w:t xml:space="preserve">, 576.</w:t>
      </w:r>
    </w:p>
  </w:footnote>
  <w:footnote w:id="32372">
    <w:p>
      <w:pPr>
        <w:pStyle w:val="rFootn"/>
      </w:pPr>
      <w:r>
        <w:rPr>
          <w:rStyle w:val="rFootnRef"/>
        </w:rPr>
        <w:footnoteRef/>
      </w:r>
      <w:r>
        <w:t xml:space="preserve"> A. Nyland, </w:t>
      </w:r>
      <w:r>
        <w:rPr>
          <w:i/>
        </w:rPr>
        <w:t xml:space="preserve">The Source New Testament</w:t>
      </w:r>
      <w:r>
        <w:t xml:space="preserve">, 328.</w:t>
      </w:r>
    </w:p>
  </w:footnote>
  <w:footnote w:id="27029">
    <w:p>
      <w:pPr>
        <w:pStyle w:val="rFootn"/>
      </w:pPr>
      <w:r>
        <w:rPr>
          <w:rStyle w:val="rFootnRef"/>
        </w:rPr>
        <w:footnoteRef/>
      </w:r>
      <w:r>
        <w:t xml:space="preserve"> Cf. Lenski, </w:t>
      </w:r>
      <w:r>
        <w:rPr>
          <w:i/>
        </w:rPr>
        <w:t xml:space="preserve">Corinthians</w:t>
      </w:r>
      <w:r>
        <w:t xml:space="preserve">, 579.</w:t>
      </w:r>
    </w:p>
  </w:footnote>
  <w:footnote w:id="29063">
    <w:p>
      <w:pPr>
        <w:pStyle w:val="rFootn"/>
      </w:pPr>
      <w:r>
        <w:rPr>
          <w:rStyle w:val="rFootnRef"/>
        </w:rPr>
        <w:footnoteRef/>
      </w:r>
      <w:r>
        <w:t xml:space="preserve"> Roberts Liardon, </w:t>
      </w:r>
      <w:r>
        <w:rPr>
          <w:i/>
        </w:rPr>
        <w:t xml:space="preserve">God’s Generals</w:t>
      </w:r>
      <w:r>
        <w:t xml:space="preserve">, 119.</w:t>
      </w:r>
    </w:p>
  </w:footnote>
  <w:footnote w:id="10927">
    <w:p>
      <w:pPr>
        <w:pStyle w:val="rFootn"/>
      </w:pPr>
      <w:r>
        <w:rPr>
          <w:rStyle w:val="rFootnRef"/>
        </w:rPr>
        <w:footnoteRef/>
      </w:r>
      <w:r>
        <w:t xml:space="preserve"> J. E. Styles, </w:t>
      </w:r>
      <w:r>
        <w:rPr>
          <w:i/>
        </w:rPr>
        <w:t xml:space="preserve">The Gift of the Holy Spirit</w:t>
      </w:r>
      <w:r>
        <w:t xml:space="preserve">, 37-38.</w:t>
      </w:r>
    </w:p>
  </w:footnote>
  <w:footnote w:id="16226">
    <w:p>
      <w:pPr>
        <w:pStyle w:val="rFootn"/>
      </w:pPr>
      <w:r>
        <w:rPr>
          <w:rStyle w:val="rFootnRef"/>
        </w:rPr>
        <w:footnoteRef/>
      </w:r>
      <w:r>
        <w:t xml:space="preserve"> Also see Gordon D. Fee, </w:t>
      </w:r>
      <w:r>
        <w:rPr>
          <w:i/>
        </w:rPr>
        <w:t xml:space="preserve">The First Epistle to the Corinthians</w:t>
      </w:r>
      <w:r>
        <w:t xml:space="preserve"> [NICOT], 665 and n35.</w:t>
      </w:r>
    </w:p>
  </w:footnote>
  <w:footnote w:id="21373">
    <w:p>
      <w:pPr>
        <w:pStyle w:val="rFootn"/>
      </w:pPr>
      <w:r>
        <w:rPr>
          <w:rStyle w:val="rFootnRef"/>
        </w:rPr>
        <w:footnoteRef/>
      </w:r>
      <w:r>
        <w:t xml:space="preserve"> see Lenski, </w:t>
      </w:r>
      <w:r>
        <w:rPr>
          <w:i/>
        </w:rPr>
        <w:t xml:space="preserve">Corinthians</w:t>
      </w:r>
      <w:r>
        <w:t xml:space="preserve">, 587-88.</w:t>
      </w:r>
    </w:p>
  </w:footnote>
  <w:footnote w:id="22981">
    <w:p>
      <w:pPr>
        <w:pStyle w:val="rFootn"/>
      </w:pPr>
      <w:r>
        <w:rPr>
          <w:rStyle w:val="rFootnRef"/>
        </w:rPr>
        <w:footnoteRef/>
      </w:r>
      <w:r>
        <w:t xml:space="preserve"> Lenski, </w:t>
      </w:r>
      <w:r>
        <w:rPr>
          <w:i/>
        </w:rPr>
        <w:t xml:space="preserve">Corinthians</w:t>
      </w:r>
      <w:r>
        <w:t xml:space="preserve">, 590.</w:t>
      </w:r>
    </w:p>
  </w:footnote>
  <w:footnote w:id="10891">
    <w:p>
      <w:pPr>
        <w:pStyle w:val="rFootn"/>
      </w:pPr>
      <w:r>
        <w:rPr>
          <w:rStyle w:val="rFootnRef"/>
        </w:rPr>
        <w:footnoteRef/>
      </w:r>
      <w:r>
        <w:t xml:space="preserve"> Gordon Fee, </w:t>
      </w:r>
      <w:r>
        <w:rPr>
          <w:i/>
        </w:rPr>
        <w:t xml:space="preserve">The First Epistle to the Corinthians</w:t>
      </w:r>
      <w:r>
        <w:t xml:space="preserve"> [NICNT], 666n47.</w:t>
      </w:r>
    </w:p>
  </w:footnote>
  <w:footnote w:id="14279">
    <w:p>
      <w:pPr>
        <w:pStyle w:val="rFootn"/>
      </w:pPr>
      <w:r>
        <w:rPr>
          <w:rStyle w:val="rFootnRef"/>
        </w:rPr>
        <w:footnoteRef/>
      </w:r>
      <w:r>
        <w:t xml:space="preserve"> Frederic Godet, </w:t>
      </w:r>
      <w:r>
        <w:rPr>
          <w:i/>
        </w:rPr>
        <w:t xml:space="preserve">Commentary on St. Paul’s First Epistle to the Corinthians</w:t>
      </w:r>
      <w:r>
        <w:t xml:space="preserve">, 277-78.</w:t>
      </w:r>
    </w:p>
  </w:footnote>
  <w:footnote w:id="16404">
    <w:p>
      <w:pPr>
        <w:pStyle w:val="rFootn"/>
      </w:pPr>
      <w:r>
        <w:rPr>
          <w:rStyle w:val="rFootnRef"/>
        </w:rPr>
        <w:footnoteRef/>
      </w:r>
      <w:r>
        <w:t xml:space="preserve"> Thomas Edwards, </w:t>
      </w:r>
      <w:r>
        <w:rPr>
          <w:i/>
        </w:rPr>
        <w:t xml:space="preserve">A Commentary on the First Epistle to the Corinthians</w:t>
      </w:r>
      <w:r>
        <w:t xml:space="preserve">, 365.</w:t>
      </w:r>
    </w:p>
  </w:footnote>
  <w:footnote w:id="21122">
    <w:p>
      <w:pPr>
        <w:pStyle w:val="rFootn"/>
      </w:pPr>
      <w:r>
        <w:rPr>
          <w:rStyle w:val="rFootnRef"/>
        </w:rPr>
        <w:footnoteRef/>
      </w:r>
      <w:r>
        <w:t xml:space="preserve"> Samuel Green, </w:t>
      </w:r>
      <w:r>
        <w:rPr>
          <w:i/>
        </w:rPr>
        <w:t xml:space="preserve">Handbook to the Grammar of the Greek Testament</w:t>
      </w:r>
      <w:r>
        <w:t xml:space="preserve">, 350.</w:t>
      </w:r>
    </w:p>
  </w:footnote>
  <w:footnote w:id="16823">
    <w:p>
      <w:pPr>
        <w:pStyle w:val="rFootn"/>
      </w:pPr>
      <w:r>
        <w:rPr>
          <w:rStyle w:val="rFootnRef"/>
        </w:rPr>
        <w:footnoteRef/>
      </w:r>
      <w:r>
        <w:t xml:space="preserve"> Thayer’s and BDAG </w:t>
      </w:r>
      <w:r>
        <w:rPr>
          <w:i/>
        </w:rPr>
        <w:t xml:space="preserve">Greek-English Lexicon</w:t>
      </w:r>
      <w:r>
        <w:t xml:space="preserve">, s.v. “εὐλογέω.”</w:t>
      </w:r>
    </w:p>
  </w:footnote>
  <w:footnote w:id="12272">
    <w:p>
      <w:pPr>
        <w:pStyle w:val="rFootn"/>
      </w:pPr>
      <w:r>
        <w:rPr>
          <w:rStyle w:val="rFootnRef"/>
        </w:rPr>
        <w:footnoteRef/>
      </w:r>
      <w:r>
        <w:t xml:space="preserve"> Lenski, </w:t>
      </w:r>
      <w:r>
        <w:rPr>
          <w:i/>
        </w:rPr>
        <w:t xml:space="preserve">Corinthians</w:t>
      </w:r>
      <w:r>
        <w:t xml:space="preserve">, 594.</w:t>
      </w:r>
    </w:p>
  </w:footnote>
  <w:footnote w:id="18140">
    <w:p>
      <w:pPr>
        <w:pStyle w:val="rFootn"/>
      </w:pPr>
      <w:r>
        <w:rPr>
          <w:rStyle w:val="rFootnRef"/>
        </w:rPr>
        <w:footnoteRef/>
      </w:r>
      <w:r>
        <w:t xml:space="preserve"> C. K. Barrett, </w:t>
      </w:r>
      <w:r>
        <w:rPr>
          <w:i/>
        </w:rPr>
        <w:t xml:space="preserve">The First Epistle to the Corinthians</w:t>
      </w:r>
      <w:r>
        <w:t xml:space="preserve"> [BNTC], 326.</w:t>
      </w:r>
    </w:p>
  </w:footnote>
  <w:footnote w:id="26341">
    <w:p>
      <w:pPr>
        <w:pStyle w:val="rFootn"/>
      </w:pPr>
      <w:r>
        <w:rPr>
          <w:rStyle w:val="rFootnRef"/>
        </w:rPr>
        <w:footnoteRef/>
      </w:r>
      <w:r>
        <w:t xml:space="preserve"> Porter, </w:t>
      </w:r>
      <w:r>
        <w:rPr>
          <w:i/>
        </w:rPr>
        <w:t xml:space="preserve">Idioms of the Greek New Testament</w:t>
      </w:r>
      <w:r>
        <w:t xml:space="preserve">, 144.</w:t>
      </w:r>
    </w:p>
  </w:footnote>
  <w:footnote w:id="20095">
    <w:p>
      <w:pPr>
        <w:pStyle w:val="rFootn"/>
      </w:pPr>
      <w:r>
        <w:rPr>
          <w:rStyle w:val="rFootnRef"/>
        </w:rPr>
        <w:footnoteRef/>
      </w:r>
      <w:r>
        <w:t xml:space="preserve"> Lenski, </w:t>
      </w:r>
      <w:r>
        <w:rPr>
          <w:i/>
        </w:rPr>
        <w:t xml:space="preserve">Corinthians</w:t>
      </w:r>
      <w:r>
        <w:t xml:space="preserve">, 608-09.</w:t>
      </w:r>
    </w:p>
  </w:footnote>
  <w:footnote w:id="32693">
    <w:p>
      <w:pPr>
        <w:pStyle w:val="rFootn"/>
      </w:pPr>
      <w:r>
        <w:rPr>
          <w:rStyle w:val="rFootnRef"/>
        </w:rPr>
        <w:footnoteRef/>
      </w:r>
      <w:r>
        <w:t xml:space="preserve"> Lenski, </w:t>
      </w:r>
      <w:r>
        <w:rPr>
          <w:i/>
        </w:rPr>
        <w:t xml:space="preserve">Corinthians</w:t>
      </w:r>
      <w:r>
        <w:t xml:space="preserve">, 621.</w:t>
      </w:r>
    </w:p>
  </w:footnote>
  <w:footnote w:id="20631">
    <w:p>
      <w:pPr>
        <w:pStyle w:val="rFootn"/>
      </w:pPr>
      <w:r>
        <w:rPr>
          <w:rStyle w:val="rFootnRef"/>
        </w:rPr>
        <w:footnoteRef/>
      </w:r>
      <w:r>
        <w:t xml:space="preserve"> F. W. Grosheide, </w:t>
      </w:r>
      <w:r>
        <w:rPr>
          <w:i/>
        </w:rPr>
        <w:t xml:space="preserve">The First Epistle to the Corinthians</w:t>
      </w:r>
      <w:r>
        <w:t xml:space="preserve"> [NICNT].</w:t>
      </w:r>
    </w:p>
  </w:footnote>
  <w:footnote w:id="27453">
    <w:p>
      <w:pPr>
        <w:pStyle w:val="rFootn"/>
      </w:pPr>
      <w:r>
        <w:rPr>
          <w:rStyle w:val="rFootnRef"/>
        </w:rPr>
        <w:footnoteRef/>
      </w:r>
      <w:r>
        <w:t xml:space="preserve"> BDAG </w:t>
      </w:r>
      <w:r>
        <w:rPr>
          <w:i/>
        </w:rPr>
        <w:t xml:space="preserve">Greek-English Lexicon</w:t>
      </w:r>
      <w:r>
        <w:t xml:space="preserve">, s.v. “εἰκῇ.”</w:t>
      </w:r>
    </w:p>
  </w:footnote>
  <w:footnote w:id="12807">
    <w:p>
      <w:pPr>
        <w:pStyle w:val="rFootn"/>
      </w:pPr>
      <w:r>
        <w:rPr>
          <w:rStyle w:val="rFootnRef"/>
        </w:rPr>
        <w:footnoteRef/>
      </w:r>
      <w:r>
        <w:t xml:space="preserve"> Cf. Wuest,</w:t>
      </w:r>
      <w:r>
        <w:rPr>
          <w:i/>
        </w:rPr>
        <w:t xml:space="preserve"> New Testament</w:t>
      </w:r>
      <w:r>
        <w:t xml:space="preserve">, “from among the dead,” 411.</w:t>
      </w:r>
    </w:p>
  </w:footnote>
  <w:footnote w:id="13233">
    <w:p>
      <w:pPr>
        <w:pStyle w:val="rFootn"/>
      </w:pPr>
      <w:r>
        <w:rPr>
          <w:rStyle w:val="rFootnRef"/>
        </w:rPr>
        <w:footnoteRef/>
      </w:r>
      <w:r>
        <w:t xml:space="preserve"> BDAG, s.v. “κατά,” def. b, β.</w:t>
      </w:r>
    </w:p>
  </w:footnote>
  <w:footnote w:id="16407">
    <w:p>
      <w:pPr>
        <w:pStyle w:val="rFootn"/>
      </w:pPr>
      <w:r>
        <w:rPr>
          <w:rStyle w:val="rFootnRef"/>
        </w:rPr>
        <w:footnoteRef/>
      </w:r>
      <w:r>
        <w:t xml:space="preserve"> Cf. Wuest, </w:t>
      </w:r>
      <w:r>
        <w:rPr>
          <w:i/>
        </w:rPr>
        <w:t xml:space="preserve">New Testament</w:t>
      </w:r>
      <w:r>
        <w:t xml:space="preserve">, “out from among the dead,” 412.</w:t>
      </w:r>
    </w:p>
  </w:footnote>
  <w:footnote w:id="12510">
    <w:p>
      <w:pPr>
        <w:pStyle w:val="rFootn"/>
      </w:pPr>
      <w:r>
        <w:rPr>
          <w:rStyle w:val="rFootnRef"/>
        </w:rPr>
        <w:footnoteRef/>
      </w:r>
      <w:r>
        <w:t xml:space="preserve"> Robertson, </w:t>
      </w:r>
      <w:r>
        <w:rPr>
          <w:i/>
        </w:rPr>
        <w:t xml:space="preserve">Grammar</w:t>
      </w:r>
      <w:r>
        <w:t xml:space="preserve">, 827.</w:t>
      </w:r>
    </w:p>
  </w:footnote>
  <w:footnote w:id="19857">
    <w:p>
      <w:pPr>
        <w:pStyle w:val="rFootn"/>
      </w:pPr>
      <w:r>
        <w:rPr>
          <w:rStyle w:val="rFootnRef"/>
        </w:rPr>
        <w:footnoteRef/>
      </w:r>
      <w:r>
        <w:t xml:space="preserve"> BDAG, s.v. “ὅταν.”</w:t>
      </w:r>
    </w:p>
  </w:footnote>
  <w:footnote w:id="14387">
    <w:p>
      <w:pPr>
        <w:pStyle w:val="rFootn"/>
      </w:pPr>
      <w:r>
        <w:rPr>
          <w:rStyle w:val="rFootnRef"/>
        </w:rPr>
        <w:footnoteRef/>
      </w:r>
      <w:r>
        <w:t xml:space="preserve"> BDAG, s.v. “τέλος.”</w:t>
      </w:r>
    </w:p>
  </w:footnote>
  <w:footnote w:id="14033">
    <w:p>
      <w:pPr>
        <w:pStyle w:val="rFootn"/>
      </w:pPr>
      <w:r>
        <w:rPr>
          <w:rStyle w:val="rFootnRef"/>
        </w:rPr>
        <w:footnoteRef/>
      </w:r>
      <w:r>
        <w:t xml:space="preserve"> BDAG, s.v. “καταργέω.”</w:t>
      </w:r>
    </w:p>
  </w:footnote>
  <w:footnote w:id="21055">
    <w:p>
      <w:pPr>
        <w:pStyle w:val="rFootn"/>
      </w:pPr>
      <w:r>
        <w:rPr>
          <w:rStyle w:val="rFootnRef"/>
        </w:rPr>
        <w:footnoteRef/>
      </w:r>
      <w:r>
        <w:t xml:space="preserve"> R. C. H. Lenski, </w:t>
      </w:r>
      <w:r>
        <w:rPr>
          <w:i/>
        </w:rPr>
        <w:t xml:space="preserve">St. Paul’s First and Second Epistles to the Corinthians</w:t>
      </w:r>
      <w:r>
        <w:t xml:space="preserve">, 679.</w:t>
      </w:r>
    </w:p>
  </w:footnote>
  <w:footnote w:id="26370">
    <w:p>
      <w:pPr>
        <w:pStyle w:val="rFootn"/>
      </w:pPr>
      <w:r>
        <w:rPr>
          <w:rStyle w:val="rFootnRef"/>
        </w:rPr>
        <w:footnoteRef/>
      </w:r>
      <w:r>
        <w:t xml:space="preserve"> Lenski, </w:t>
      </w:r>
      <w:r>
        <w:rPr>
          <w:i/>
        </w:rPr>
        <w:t xml:space="preserve">First and Second Corinthians</w:t>
      </w:r>
      <w:r>
        <w:t xml:space="preserve">, 683-84; Robertson, </w:t>
      </w:r>
      <w:r>
        <w:rPr>
          <w:i/>
        </w:rPr>
        <w:t xml:space="preserve">Grammar</w:t>
      </w:r>
      <w:r>
        <w:t xml:space="preserve">, 809.</w:t>
      </w:r>
    </w:p>
  </w:footnote>
  <w:footnote w:id="29962">
    <w:p>
      <w:pPr>
        <w:pStyle w:val="rFootn"/>
      </w:pPr>
      <w:r>
        <w:rPr>
          <w:rStyle w:val="rFootnRef"/>
        </w:rPr>
        <w:footnoteRef/>
      </w:r>
      <w:r>
        <w:t xml:space="preserve"> Cf. Lenski, </w:t>
      </w:r>
      <w:r>
        <w:rPr>
          <w:i/>
        </w:rPr>
        <w:t xml:space="preserve">First and Second Epistles to the Corinthians</w:t>
      </w:r>
      <w:r>
        <w:t xml:space="preserve">, 693; Thiselton, </w:t>
      </w:r>
      <w:r>
        <w:rPr>
          <w:i/>
        </w:rPr>
        <w:t xml:space="preserve">The First Epistle to the Corinthians</w:t>
      </w:r>
      <w:r>
        <w:t xml:space="preserve"> [NIGTC].</w:t>
      </w:r>
    </w:p>
  </w:footnote>
  <w:footnote w:id="13832">
    <w:p>
      <w:pPr>
        <w:pStyle w:val="rFootn"/>
      </w:pPr>
      <w:r>
        <w:rPr>
          <w:rStyle w:val="rFootnRef"/>
        </w:rPr>
        <w:footnoteRef/>
      </w:r>
      <w:r>
        <w:t xml:space="preserve"> Nyland, </w:t>
      </w:r>
      <w:r>
        <w:rPr>
          <w:i/>
        </w:rPr>
        <w:t xml:space="preserve">The Source New Testament</w:t>
      </w:r>
      <w:r>
        <w:t xml:space="preserve">, 332n6.</w:t>
      </w:r>
    </w:p>
  </w:footnote>
  <w:footnote w:id="20557">
    <w:p>
      <w:pPr>
        <w:pStyle w:val="rFootn"/>
      </w:pPr>
      <w:r>
        <w:rPr>
          <w:rStyle w:val="rFootnRef"/>
        </w:rPr>
        <w:footnoteRef/>
      </w:r>
      <w:r>
        <w:t xml:space="preserve"> Gregory Aldrete, </w:t>
      </w:r>
      <w:r>
        <w:rPr>
          <w:i/>
        </w:rPr>
        <w:t xml:space="preserve">Daily Life in the Roman City</w:t>
      </w:r>
      <w:r>
        <w:t xml:space="preserve">, 91.</w:t>
      </w:r>
    </w:p>
  </w:footnote>
  <w:footnote w:id="29559">
    <w:p>
      <w:pPr>
        <w:pStyle w:val="rFootn"/>
      </w:pPr>
      <w:r>
        <w:rPr>
          <w:rStyle w:val="rFootnRef"/>
        </w:rPr>
        <w:footnoteRef/>
      </w:r>
      <w:r>
        <w:t xml:space="preserve"> Vincent, </w:t>
      </w:r>
      <w:r>
        <w:rPr>
          <w:i/>
        </w:rPr>
        <w:t xml:space="preserve">Vincent’s Word Studies in the New Testament</w:t>
      </w:r>
      <w:r>
        <w:t xml:space="preserve">, 3:282.</w:t>
      </w:r>
    </w:p>
  </w:footnote>
  <w:footnote w:id="14636">
    <w:p>
      <w:pPr>
        <w:pStyle w:val="rFootn"/>
      </w:pPr>
      <w:r>
        <w:rPr>
          <w:rStyle w:val="rFootnRef"/>
        </w:rPr>
        <w:footnoteRef/>
      </w:r>
      <w:r>
        <w:t xml:space="preserve"> Lenski, </w:t>
      </w:r>
      <w:r>
        <w:rPr>
          <w:i/>
        </w:rPr>
        <w:t xml:space="preserve">Corinthians</w:t>
      </w:r>
      <w:r>
        <w:t xml:space="preserve">, 730.</w:t>
      </w:r>
    </w:p>
  </w:footnote>
  <w:footnote w:id="21663">
    <w:p>
      <w:pPr>
        <w:pStyle w:val="rFootn"/>
      </w:pPr>
      <w:r>
        <w:rPr>
          <w:rStyle w:val="rFootnRef"/>
        </w:rPr>
        <w:footnoteRef/>
      </w:r>
      <w:r>
        <w:t xml:space="preserve"> BDAG, s.v. “κραταιόω.”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179174">
    <w:multiLevelType w:val="hybridMultilevel"/>
    <w:lvl w:ilvl="0" w:tplc="74195024">
      <w:start w:val="1"/>
      <w:numFmt w:val="decimal"/>
      <w:lvlText w:val="%1."/>
      <w:lvlJc w:val="left"/>
      <w:pPr>
        <w:ind w:left="720" w:hanging="360"/>
      </w:pPr>
    </w:lvl>
    <w:lvl w:ilvl="1" w:tplc="74195024" w:tentative="1">
      <w:start w:val="1"/>
      <w:numFmt w:val="lowerLetter"/>
      <w:lvlText w:val="%2."/>
      <w:lvlJc w:val="left"/>
      <w:pPr>
        <w:ind w:left="1440" w:hanging="360"/>
      </w:pPr>
    </w:lvl>
    <w:lvl w:ilvl="2" w:tplc="74195024" w:tentative="1">
      <w:start w:val="1"/>
      <w:numFmt w:val="lowerRoman"/>
      <w:lvlText w:val="%3."/>
      <w:lvlJc w:val="right"/>
      <w:pPr>
        <w:ind w:left="2160" w:hanging="180"/>
      </w:pPr>
    </w:lvl>
    <w:lvl w:ilvl="3" w:tplc="74195024" w:tentative="1">
      <w:start w:val="1"/>
      <w:numFmt w:val="decimal"/>
      <w:lvlText w:val="%4."/>
      <w:lvlJc w:val="left"/>
      <w:pPr>
        <w:ind w:left="2880" w:hanging="360"/>
      </w:pPr>
    </w:lvl>
    <w:lvl w:ilvl="4" w:tplc="74195024" w:tentative="1">
      <w:start w:val="1"/>
      <w:numFmt w:val="lowerLetter"/>
      <w:lvlText w:val="%5."/>
      <w:lvlJc w:val="left"/>
      <w:pPr>
        <w:ind w:left="3600" w:hanging="360"/>
      </w:pPr>
    </w:lvl>
    <w:lvl w:ilvl="5" w:tplc="74195024" w:tentative="1">
      <w:start w:val="1"/>
      <w:numFmt w:val="lowerRoman"/>
      <w:lvlText w:val="%6."/>
      <w:lvlJc w:val="right"/>
      <w:pPr>
        <w:ind w:left="4320" w:hanging="180"/>
      </w:pPr>
    </w:lvl>
    <w:lvl w:ilvl="6" w:tplc="74195024" w:tentative="1">
      <w:start w:val="1"/>
      <w:numFmt w:val="decimal"/>
      <w:lvlText w:val="%7."/>
      <w:lvlJc w:val="left"/>
      <w:pPr>
        <w:ind w:left="5040" w:hanging="360"/>
      </w:pPr>
    </w:lvl>
    <w:lvl w:ilvl="7" w:tplc="74195024" w:tentative="1">
      <w:start w:val="1"/>
      <w:numFmt w:val="lowerLetter"/>
      <w:lvlText w:val="%8."/>
      <w:lvlJc w:val="left"/>
      <w:pPr>
        <w:ind w:left="5760" w:hanging="360"/>
      </w:pPr>
    </w:lvl>
    <w:lvl w:ilvl="8" w:tplc="74195024" w:tentative="1">
      <w:start w:val="1"/>
      <w:numFmt w:val="lowerRoman"/>
      <w:lvlText w:val="%9."/>
      <w:lvlJc w:val="right"/>
      <w:pPr>
        <w:ind w:left="6480" w:hanging="180"/>
      </w:pPr>
    </w:lvl>
  </w:abstractNum>
  <w:abstractNum w:abstractNumId="70179173">
    <w:multiLevelType w:val="hybridMultilevel"/>
    <w:lvl w:ilvl="0" w:tplc="70321064">
      <w:start w:val="1"/>
      <w:numFmt w:val="decimal"/>
      <w:lvlText w:val="%1."/>
      <w:lvlJc w:val="left"/>
      <w:pPr>
        <w:ind w:left="720" w:hanging="360"/>
      </w:pPr>
    </w:lvl>
    <w:lvl w:ilvl="1" w:tplc="70321064" w:tentative="1">
      <w:start w:val="1"/>
      <w:numFmt w:val="lowerLetter"/>
      <w:lvlText w:val="%2."/>
      <w:lvlJc w:val="left"/>
      <w:pPr>
        <w:ind w:left="1440" w:hanging="360"/>
      </w:pPr>
    </w:lvl>
    <w:lvl w:ilvl="2" w:tplc="70321064" w:tentative="1">
      <w:start w:val="1"/>
      <w:numFmt w:val="lowerRoman"/>
      <w:lvlText w:val="%3."/>
      <w:lvlJc w:val="right"/>
      <w:pPr>
        <w:ind w:left="2160" w:hanging="180"/>
      </w:pPr>
    </w:lvl>
    <w:lvl w:ilvl="3" w:tplc="70321064" w:tentative="1">
      <w:start w:val="1"/>
      <w:numFmt w:val="decimal"/>
      <w:lvlText w:val="%4."/>
      <w:lvlJc w:val="left"/>
      <w:pPr>
        <w:ind w:left="2880" w:hanging="360"/>
      </w:pPr>
    </w:lvl>
    <w:lvl w:ilvl="4" w:tplc="70321064" w:tentative="1">
      <w:start w:val="1"/>
      <w:numFmt w:val="lowerLetter"/>
      <w:lvlText w:val="%5."/>
      <w:lvlJc w:val="left"/>
      <w:pPr>
        <w:ind w:left="3600" w:hanging="360"/>
      </w:pPr>
    </w:lvl>
    <w:lvl w:ilvl="5" w:tplc="70321064" w:tentative="1">
      <w:start w:val="1"/>
      <w:numFmt w:val="lowerRoman"/>
      <w:lvlText w:val="%6."/>
      <w:lvlJc w:val="right"/>
      <w:pPr>
        <w:ind w:left="4320" w:hanging="180"/>
      </w:pPr>
    </w:lvl>
    <w:lvl w:ilvl="6" w:tplc="70321064" w:tentative="1">
      <w:start w:val="1"/>
      <w:numFmt w:val="decimal"/>
      <w:lvlText w:val="%7."/>
      <w:lvlJc w:val="left"/>
      <w:pPr>
        <w:ind w:left="5040" w:hanging="360"/>
      </w:pPr>
    </w:lvl>
    <w:lvl w:ilvl="7" w:tplc="70321064" w:tentative="1">
      <w:start w:val="1"/>
      <w:numFmt w:val="lowerLetter"/>
      <w:lvlText w:val="%8."/>
      <w:lvlJc w:val="left"/>
      <w:pPr>
        <w:ind w:left="5760" w:hanging="360"/>
      </w:pPr>
    </w:lvl>
    <w:lvl w:ilvl="8" w:tplc="70321064" w:tentative="1">
      <w:start w:val="1"/>
      <w:numFmt w:val="lowerRoman"/>
      <w:lvlText w:val="%9."/>
      <w:lvlJc w:val="right"/>
      <w:pPr>
        <w:ind w:left="6480" w:hanging="180"/>
      </w:pPr>
    </w:lvl>
  </w:abstractNum>
  <w:abstractNum w:abstractNumId="70179172">
    <w:multiLevelType w:val="hybridMultilevel"/>
    <w:lvl w:ilvl="0" w:tplc="90532342">
      <w:start w:val="1"/>
      <w:numFmt w:val="decimal"/>
      <w:lvlText w:val="%1."/>
      <w:lvlJc w:val="left"/>
      <w:pPr>
        <w:ind w:left="720" w:hanging="360"/>
      </w:pPr>
    </w:lvl>
    <w:lvl w:ilvl="1" w:tplc="90532342" w:tentative="1">
      <w:start w:val="1"/>
      <w:numFmt w:val="lowerLetter"/>
      <w:lvlText w:val="%2."/>
      <w:lvlJc w:val="left"/>
      <w:pPr>
        <w:ind w:left="1440" w:hanging="360"/>
      </w:pPr>
    </w:lvl>
    <w:lvl w:ilvl="2" w:tplc="90532342" w:tentative="1">
      <w:start w:val="1"/>
      <w:numFmt w:val="lowerRoman"/>
      <w:lvlText w:val="%3."/>
      <w:lvlJc w:val="right"/>
      <w:pPr>
        <w:ind w:left="2160" w:hanging="180"/>
      </w:pPr>
    </w:lvl>
    <w:lvl w:ilvl="3" w:tplc="90532342" w:tentative="1">
      <w:start w:val="1"/>
      <w:numFmt w:val="decimal"/>
      <w:lvlText w:val="%4."/>
      <w:lvlJc w:val="left"/>
      <w:pPr>
        <w:ind w:left="2880" w:hanging="360"/>
      </w:pPr>
    </w:lvl>
    <w:lvl w:ilvl="4" w:tplc="90532342" w:tentative="1">
      <w:start w:val="1"/>
      <w:numFmt w:val="lowerLetter"/>
      <w:lvlText w:val="%5."/>
      <w:lvlJc w:val="left"/>
      <w:pPr>
        <w:ind w:left="3600" w:hanging="360"/>
      </w:pPr>
    </w:lvl>
    <w:lvl w:ilvl="5" w:tplc="90532342" w:tentative="1">
      <w:start w:val="1"/>
      <w:numFmt w:val="lowerRoman"/>
      <w:lvlText w:val="%6."/>
      <w:lvlJc w:val="right"/>
      <w:pPr>
        <w:ind w:left="4320" w:hanging="180"/>
      </w:pPr>
    </w:lvl>
    <w:lvl w:ilvl="6" w:tplc="90532342" w:tentative="1">
      <w:start w:val="1"/>
      <w:numFmt w:val="decimal"/>
      <w:lvlText w:val="%7."/>
      <w:lvlJc w:val="left"/>
      <w:pPr>
        <w:ind w:left="5040" w:hanging="360"/>
      </w:pPr>
    </w:lvl>
    <w:lvl w:ilvl="7" w:tplc="90532342" w:tentative="1">
      <w:start w:val="1"/>
      <w:numFmt w:val="lowerLetter"/>
      <w:lvlText w:val="%8."/>
      <w:lvlJc w:val="left"/>
      <w:pPr>
        <w:ind w:left="5760" w:hanging="360"/>
      </w:pPr>
    </w:lvl>
    <w:lvl w:ilvl="8" w:tplc="90532342" w:tentative="1">
      <w:start w:val="1"/>
      <w:numFmt w:val="lowerRoman"/>
      <w:lvlText w:val="%9."/>
      <w:lvlJc w:val="right"/>
      <w:pPr>
        <w:ind w:left="6480" w:hanging="180"/>
      </w:pPr>
    </w:lvl>
  </w:abstractNum>
  <w:abstractNum w:abstractNumId="70179171">
    <w:multiLevelType w:val="hybridMultilevel"/>
    <w:lvl w:ilvl="0" w:tplc="12131421">
      <w:start w:val="1"/>
      <w:numFmt w:val="decimal"/>
      <w:lvlText w:val="%1."/>
      <w:lvlJc w:val="left"/>
      <w:pPr>
        <w:ind w:left="720" w:hanging="360"/>
      </w:pPr>
    </w:lvl>
    <w:lvl w:ilvl="1" w:tplc="12131421" w:tentative="1">
      <w:start w:val="1"/>
      <w:numFmt w:val="lowerLetter"/>
      <w:lvlText w:val="%2."/>
      <w:lvlJc w:val="left"/>
      <w:pPr>
        <w:ind w:left="1440" w:hanging="360"/>
      </w:pPr>
    </w:lvl>
    <w:lvl w:ilvl="2" w:tplc="12131421" w:tentative="1">
      <w:start w:val="1"/>
      <w:numFmt w:val="lowerRoman"/>
      <w:lvlText w:val="%3."/>
      <w:lvlJc w:val="right"/>
      <w:pPr>
        <w:ind w:left="2160" w:hanging="180"/>
      </w:pPr>
    </w:lvl>
    <w:lvl w:ilvl="3" w:tplc="12131421" w:tentative="1">
      <w:start w:val="1"/>
      <w:numFmt w:val="decimal"/>
      <w:lvlText w:val="%4."/>
      <w:lvlJc w:val="left"/>
      <w:pPr>
        <w:ind w:left="2880" w:hanging="360"/>
      </w:pPr>
    </w:lvl>
    <w:lvl w:ilvl="4" w:tplc="12131421" w:tentative="1">
      <w:start w:val="1"/>
      <w:numFmt w:val="lowerLetter"/>
      <w:lvlText w:val="%5."/>
      <w:lvlJc w:val="left"/>
      <w:pPr>
        <w:ind w:left="3600" w:hanging="360"/>
      </w:pPr>
    </w:lvl>
    <w:lvl w:ilvl="5" w:tplc="12131421" w:tentative="1">
      <w:start w:val="1"/>
      <w:numFmt w:val="lowerRoman"/>
      <w:lvlText w:val="%6."/>
      <w:lvlJc w:val="right"/>
      <w:pPr>
        <w:ind w:left="4320" w:hanging="180"/>
      </w:pPr>
    </w:lvl>
    <w:lvl w:ilvl="6" w:tplc="12131421" w:tentative="1">
      <w:start w:val="1"/>
      <w:numFmt w:val="decimal"/>
      <w:lvlText w:val="%7."/>
      <w:lvlJc w:val="left"/>
      <w:pPr>
        <w:ind w:left="5040" w:hanging="360"/>
      </w:pPr>
    </w:lvl>
    <w:lvl w:ilvl="7" w:tplc="12131421" w:tentative="1">
      <w:start w:val="1"/>
      <w:numFmt w:val="lowerLetter"/>
      <w:lvlText w:val="%8."/>
      <w:lvlJc w:val="left"/>
      <w:pPr>
        <w:ind w:left="5760" w:hanging="360"/>
      </w:pPr>
    </w:lvl>
    <w:lvl w:ilvl="8" w:tplc="12131421" w:tentative="1">
      <w:start w:val="1"/>
      <w:numFmt w:val="lowerRoman"/>
      <w:lvlText w:val="%9."/>
      <w:lvlJc w:val="right"/>
      <w:pPr>
        <w:ind w:left="6480" w:hanging="180"/>
      </w:pPr>
    </w:lvl>
  </w:abstractNum>
  <w:abstractNum w:abstractNumId="70179170">
    <w:multiLevelType w:val="hybridMultilevel"/>
    <w:lvl w:ilvl="0" w:tplc="86702902">
      <w:start w:val="1"/>
      <w:numFmt w:val="decimal"/>
      <w:lvlText w:val="%1."/>
      <w:lvlJc w:val="left"/>
      <w:pPr>
        <w:ind w:left="720" w:hanging="360"/>
      </w:pPr>
    </w:lvl>
    <w:lvl w:ilvl="1" w:tplc="86702902" w:tentative="1">
      <w:start w:val="1"/>
      <w:numFmt w:val="lowerLetter"/>
      <w:lvlText w:val="%2."/>
      <w:lvlJc w:val="left"/>
      <w:pPr>
        <w:ind w:left="1440" w:hanging="360"/>
      </w:pPr>
    </w:lvl>
    <w:lvl w:ilvl="2" w:tplc="86702902" w:tentative="1">
      <w:start w:val="1"/>
      <w:numFmt w:val="lowerRoman"/>
      <w:lvlText w:val="%3."/>
      <w:lvlJc w:val="right"/>
      <w:pPr>
        <w:ind w:left="2160" w:hanging="180"/>
      </w:pPr>
    </w:lvl>
    <w:lvl w:ilvl="3" w:tplc="86702902" w:tentative="1">
      <w:start w:val="1"/>
      <w:numFmt w:val="decimal"/>
      <w:lvlText w:val="%4."/>
      <w:lvlJc w:val="left"/>
      <w:pPr>
        <w:ind w:left="2880" w:hanging="360"/>
      </w:pPr>
    </w:lvl>
    <w:lvl w:ilvl="4" w:tplc="86702902" w:tentative="1">
      <w:start w:val="1"/>
      <w:numFmt w:val="lowerLetter"/>
      <w:lvlText w:val="%5."/>
      <w:lvlJc w:val="left"/>
      <w:pPr>
        <w:ind w:left="3600" w:hanging="360"/>
      </w:pPr>
    </w:lvl>
    <w:lvl w:ilvl="5" w:tplc="86702902" w:tentative="1">
      <w:start w:val="1"/>
      <w:numFmt w:val="lowerRoman"/>
      <w:lvlText w:val="%6."/>
      <w:lvlJc w:val="right"/>
      <w:pPr>
        <w:ind w:left="4320" w:hanging="180"/>
      </w:pPr>
    </w:lvl>
    <w:lvl w:ilvl="6" w:tplc="86702902" w:tentative="1">
      <w:start w:val="1"/>
      <w:numFmt w:val="decimal"/>
      <w:lvlText w:val="%7."/>
      <w:lvlJc w:val="left"/>
      <w:pPr>
        <w:ind w:left="5040" w:hanging="360"/>
      </w:pPr>
    </w:lvl>
    <w:lvl w:ilvl="7" w:tplc="86702902" w:tentative="1">
      <w:start w:val="1"/>
      <w:numFmt w:val="lowerLetter"/>
      <w:lvlText w:val="%8."/>
      <w:lvlJc w:val="left"/>
      <w:pPr>
        <w:ind w:left="5760" w:hanging="360"/>
      </w:pPr>
    </w:lvl>
    <w:lvl w:ilvl="8" w:tplc="86702902" w:tentative="1">
      <w:start w:val="1"/>
      <w:numFmt w:val="lowerRoman"/>
      <w:lvlText w:val="%9."/>
      <w:lvlJc w:val="right"/>
      <w:pPr>
        <w:ind w:left="6480" w:hanging="180"/>
      </w:pPr>
    </w:lvl>
  </w:abstractNum>
  <w:abstractNum w:abstractNumId="12184">
    <w:multiLevelType w:val="hybridMultilevel"/>
    <w:lvl w:ilvl="0" w:tplc="537141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184">
    <w:abstractNumId w:val="12184"/>
  </w:num>
  <w:num w:numId="70179170">
    <w:abstractNumId w:val="70179170"/>
  </w:num>
  <w:num w:numId="70179171">
    <w:abstractNumId w:val="70179171"/>
  </w:num>
  <w:num w:numId="70179172">
    <w:abstractNumId w:val="70179172"/>
  </w:num>
  <w:num w:numId="70179173">
    <w:abstractNumId w:val="70179173"/>
  </w:num>
  <w:num w:numId="70179174">
    <w:abstractNumId w:val="7017917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1966444" Type="http://schemas.openxmlformats.org/officeDocument/2006/relationships/numbering" Target="numbering.xml"/><Relationship Id="rId855353628" Type="http://schemas.openxmlformats.org/officeDocument/2006/relationships/comments" Target="comments.xml"/><Relationship Id="rId432767cdfa543e409" Type="http://schemas.openxmlformats.org/officeDocument/2006/relationships/footer" Target="defaultFooter.xml"/><Relationship Id="rId260467cdfa5497bfc"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