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8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rFootnRef"/>
        </w:rPr>
        <w:footnoteReference w:id="27367"/>
      </w:r>
      <w:r>
        <w:rPr/>
        <w:t xml:space="preserve"> and 6,000 </w:t>
      </w:r>
      <w:r>
        <w:rPr>
          <w:i/>
          <w:iCs/>
        </w:rPr>
        <w:t xml:space="preserve">shekels</w:t>
      </w:r>
      <w:r>
        <w:rPr/>
        <w:t xml:space="preserve"> of gold</w:t>
      </w:r>
      <w:r>
        <w:rPr>
          <w:rStyle w:val="rFootnRef"/>
        </w:rPr>
        <w:footnoteReference w:id="22933"/>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rFootnRef"/>
        </w:rPr>
        <w:footnoteReference w:id="30200"/>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rFootnRef"/>
        </w:rPr>
        <w:footnoteReference w:id="21615"/>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pieces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And 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Then he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Elisha said, “Hear the word of Yahweh. This is what Yahweh says: ‘Tomorrow about this time a seah</w:t>
      </w:r>
      <w:r>
        <w:rPr>
          <w:rStyle w:val="rFootnRef"/>
        </w:rPr>
        <w:footnoteReference w:id="18796"/>
      </w:r>
      <w:r>
        <w:rPr/>
        <w:t xml:space="preserve"> of fine flour will be sold for a shekel</w:t>
      </w:r>
      <w:r>
        <w:rPr>
          <w:rStyle w:val="rFootnRef"/>
        </w:rPr>
        <w:footnoteReference w:id="28466"/>
      </w:r>
      <w:r>
        <w:rPr/>
        <w:t xml:space="preserve"> and two seahs</w:t>
      </w:r>
      <w:r>
        <w:rPr>
          <w:rStyle w:val="rFootnRef"/>
        </w:rPr>
        <w:footnoteReference w:id="29878"/>
      </w:r>
      <w:r>
        <w:rPr/>
        <w:t xml:space="preserve"> of barley for a shekel in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 at the entrance of the gate. They said one to another, “Why do we sit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that remain in it. Look, they are like all the people of Israel that are done for.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rFootnRef"/>
        </w:rPr>
        <w:footnoteReference w:id="11938"/>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rFootnRef"/>
        </w:rPr>
        <w:footnoteReference w:id="18539"/>
      </w:r>
      <w:r>
        <w:rPr/>
        <w:t xml:space="preserve"> of barley for a shekel and a seah</w:t>
      </w:r>
      <w:r>
        <w:rPr>
          <w:rStyle w:val="rFootnRef"/>
        </w:rPr>
        <w:footnoteReference w:id="32215"/>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he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rFootnRef"/>
        </w:rPr>
        <w:footnoteReference w:id="24120"/>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rFootnRef"/>
        </w:rPr>
        <w:footnoteReference w:id="17926"/>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rFootnRef"/>
        </w:rPr>
        <w:footnoteReference w:id="31721"/>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rFootnRef"/>
        </w:rPr>
        <w:footnoteReference w:id="31324"/>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trespass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rFootnRef"/>
        </w:rPr>
        <w:footnoteReference w:id="16769"/>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rFootnRef"/>
        </w:rPr>
        <w:footnoteReference w:id="15397"/>
      </w:r>
      <w:r>
        <w:rPr/>
        <w:t xml:space="preserve"> the son of Jehoahaz returned and took out of the hand of Ben-hadad the son of Hazael the cities that he had taken out of the hand of Jehoahaz his father in war. Joash</w:t>
      </w:r>
      <w:r>
        <w:rPr>
          <w:rStyle w:val="rFootnRef"/>
        </w:rPr>
        <w:footnoteReference w:id="24589"/>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rFootnRef"/>
        </w:rPr>
        <w:footnoteReference w:id="32549"/>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rFootnRef"/>
        </w:rPr>
        <w:footnoteReference w:id="12927"/>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rFootnRef"/>
        </w:rPr>
        <w:footnoteReference w:id="29757"/>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rFootnRef"/>
        </w:rPr>
        <w:footnoteReference w:id="11821"/>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sprinkled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sprinkle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rFootnRef"/>
        </w:rPr>
        <w:footnoteReference w:id="11368"/>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rFootnRef"/>
        </w:rPr>
        <w:footnoteReference w:id="31501"/>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rFootnRef"/>
        </w:rPr>
        <w:footnoteReference w:id="11758"/>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rFootnRef"/>
        </w:rPr>
        <w:footnoteReference w:id="15625"/>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rFootnRef"/>
        </w:rPr>
        <w:footnoteReference w:id="11897"/>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rFootnRef"/>
        </w:rPr>
        <w:footnoteReference w:id="28716"/>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rFootnRef"/>
        </w:rPr>
        <w:footnoteReference w:id="11503"/>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rFootnRef"/>
        </w:rPr>
        <w:footnoteReference w:id="23747"/>
      </w:r>
      <w:r>
        <w:rPr/>
        <w:t xml:space="preserve"> and a talent of gold.</w:t>
      </w:r>
      <w:r>
        <w:rPr>
          <w:rStyle w:val="rFootnRef"/>
        </w:rPr>
        <w:footnoteReference w:id="14865"/>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rFootnRef"/>
        </w:rPr>
        <w:footnoteReference w:id="17562"/>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rFootnRef"/>
        </w:rPr>
        <w:footnoteReference w:id="27030"/>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949967bb2e154eb3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507819"/>
      <w:docPartObj>
        <w:docPartGallery w:val="Page Numbers (Bottom of Page)"/>
        <w:docPartUnique/>
      </w:docPartObj>
    </w:sdtPr>
    <w:sdtContent>
      <w:sdt>
        <w:sdtPr>
          <w:id w:val="5312799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367">
    <w:p>
      <w:pPr>
        <w:pStyle w:val="rFootn"/>
      </w:pPr>
      <w:r>
        <w:rPr>
          <w:rStyle w:val="rFootnRef"/>
        </w:rPr>
        <w:footnoteRef/>
      </w:r>
      <w:r>
        <w:t xml:space="preserve"> Roughly 750 pounds (340 kilograms)</w:t>
      </w:r>
    </w:p>
  </w:footnote>
  <w:footnote w:id="22933">
    <w:p>
      <w:pPr>
        <w:pStyle w:val="rFootn"/>
      </w:pPr>
      <w:r>
        <w:rPr>
          <w:rStyle w:val="rFootnRef"/>
        </w:rPr>
        <w:footnoteRef/>
      </w:r>
      <w:r>
        <w:t xml:space="preserve"> Roughly 150 pounds (68 kilograms)</w:t>
      </w:r>
    </w:p>
  </w:footnote>
  <w:footnote w:id="30200">
    <w:p>
      <w:pPr>
        <w:pStyle w:val="rFootn"/>
      </w:pPr>
      <w:r>
        <w:rPr>
          <w:rStyle w:val="rFootnRef"/>
        </w:rPr>
        <w:footnoteRef/>
      </w:r>
      <w:r>
        <w:t xml:space="preserve"> Or “worship”</w:t>
      </w:r>
    </w:p>
  </w:footnote>
  <w:footnote w:id="21615">
    <w:p>
      <w:pPr>
        <w:pStyle w:val="rFootn"/>
      </w:pPr>
      <w:r>
        <w:rPr>
          <w:rStyle w:val="rFootnRef"/>
        </w:rPr>
        <w:footnoteRef/>
      </w:r>
      <w:r>
        <w:t xml:space="preserve"> Lit. “Aramean”</w:t>
      </w:r>
    </w:p>
  </w:footnote>
  <w:footnote w:id="18796">
    <w:p>
      <w:pPr>
        <w:pStyle w:val="rFootn"/>
      </w:pPr>
      <w:r>
        <w:rPr>
          <w:rStyle w:val="rFootnRef"/>
        </w:rPr>
        <w:footnoteRef/>
      </w:r>
      <w:r>
        <w:t xml:space="preserve"> About 7 quarts (6.6 liters)</w:t>
      </w:r>
    </w:p>
  </w:footnote>
  <w:footnote w:id="28466">
    <w:p>
      <w:pPr>
        <w:pStyle w:val="rFootn"/>
      </w:pPr>
      <w:r>
        <w:rPr>
          <w:rStyle w:val="rFootnRef"/>
        </w:rPr>
        <w:footnoteRef/>
      </w:r>
      <w:r>
        <w:t xml:space="preserve"> A shekel was roughly 0.4 ounces (11 grams)</w:t>
      </w:r>
    </w:p>
  </w:footnote>
  <w:footnote w:id="29878">
    <w:p>
      <w:pPr>
        <w:pStyle w:val="rFootn"/>
      </w:pPr>
      <w:r>
        <w:rPr>
          <w:rStyle w:val="rFootnRef"/>
        </w:rPr>
        <w:footnoteRef/>
      </w:r>
      <w:r>
        <w:t xml:space="preserve"> About 14 quarts (13.2 liters)</w:t>
      </w:r>
    </w:p>
  </w:footnote>
  <w:footnote w:id="11938">
    <w:p>
      <w:pPr>
        <w:pStyle w:val="rFootn"/>
      </w:pPr>
      <w:r>
        <w:rPr>
          <w:rStyle w:val="rFootnRef"/>
        </w:rPr>
        <w:footnoteRef/>
      </w:r>
      <w:r>
        <w:t xml:space="preserve"> A seah is about 7 quarts (6.6 liters)</w:t>
      </w:r>
    </w:p>
  </w:footnote>
  <w:footnote w:id="18539">
    <w:p>
      <w:pPr>
        <w:pStyle w:val="rFootn"/>
      </w:pPr>
      <w:r>
        <w:rPr>
          <w:rStyle w:val="rFootnRef"/>
        </w:rPr>
        <w:footnoteRef/>
      </w:r>
      <w:r>
        <w:t xml:space="preserve"> About 14 quarts (13.2 liters)</w:t>
      </w:r>
    </w:p>
  </w:footnote>
  <w:footnote w:id="32215">
    <w:p>
      <w:pPr>
        <w:pStyle w:val="rFootn"/>
      </w:pPr>
      <w:r>
        <w:rPr>
          <w:rStyle w:val="rFootnRef"/>
        </w:rPr>
        <w:footnoteRef/>
      </w:r>
      <w:r>
        <w:t xml:space="preserve"> About 7 quarts (6.6 liters)</w:t>
      </w:r>
    </w:p>
  </w:footnote>
  <w:footnote w:id="24120">
    <w:p>
      <w:pPr>
        <w:pStyle w:val="rFootn"/>
      </w:pPr>
      <w:r>
        <w:rPr>
          <w:rStyle w:val="rFootnRef"/>
        </w:rPr>
        <w:footnoteRef/>
      </w:r>
      <w:r>
        <w:t xml:space="preserve"> Heb. “Jehoram”</w:t>
      </w:r>
    </w:p>
  </w:footnote>
  <w:footnote w:id="17926">
    <w:p>
      <w:pPr>
        <w:pStyle w:val="rFootn"/>
      </w:pPr>
      <w:r>
        <w:rPr>
          <w:rStyle w:val="rFootnRef"/>
        </w:rPr>
        <w:footnoteRef/>
      </w:r>
      <w:r>
        <w:t xml:space="preserve"> He is called “Joash” in 2 Chronicles 24</w:t>
      </w:r>
    </w:p>
  </w:footnote>
  <w:footnote w:id="31721">
    <w:p>
      <w:pPr>
        <w:pStyle w:val="rFootn"/>
      </w:pPr>
      <w:r>
        <w:rPr>
          <w:rStyle w:val="rFootnRef"/>
        </w:rPr>
        <w:footnoteRef/>
      </w:r>
      <w:r>
        <w:t xml:space="preserve"> Meaning “money”</w:t>
      </w:r>
    </w:p>
  </w:footnote>
  <w:footnote w:id="31324">
    <w:p>
      <w:pPr>
        <w:pStyle w:val="rFootn"/>
      </w:pPr>
      <w:r>
        <w:rPr>
          <w:rStyle w:val="rFootnRef"/>
        </w:rPr>
        <w:footnoteRef/>
      </w:r>
      <w:r>
        <w:t xml:space="preserve"> Lit. “silver”</w:t>
      </w:r>
    </w:p>
  </w:footnote>
  <w:footnote w:id="16769">
    <w:p>
      <w:pPr>
        <w:pStyle w:val="rFootn"/>
      </w:pPr>
      <w:r>
        <w:rPr>
          <w:rStyle w:val="rFootnRef"/>
        </w:rPr>
        <w:footnoteRef/>
      </w:r>
      <w:r>
        <w:t xml:space="preserve"> Alt. spelling of “Jehoash”</w:t>
      </w:r>
    </w:p>
  </w:footnote>
  <w:footnote w:id="15397">
    <w:p>
      <w:pPr>
        <w:pStyle w:val="rFootn"/>
      </w:pPr>
      <w:r>
        <w:rPr>
          <w:rStyle w:val="rFootnRef"/>
        </w:rPr>
        <w:footnoteRef/>
      </w:r>
      <w:r>
        <w:t xml:space="preserve"> Also called “Joash” in this verse</w:t>
      </w:r>
    </w:p>
  </w:footnote>
  <w:footnote w:id="24589">
    <w:p>
      <w:pPr>
        <w:pStyle w:val="rFootn"/>
      </w:pPr>
      <w:r>
        <w:rPr>
          <w:rStyle w:val="rFootnRef"/>
        </w:rPr>
        <w:footnoteRef/>
      </w:r>
      <w:r>
        <w:t xml:space="preserve"> The shorter rendition of “Jehoash”</w:t>
      </w:r>
    </w:p>
  </w:footnote>
  <w:footnote w:id="32549">
    <w:p>
      <w:pPr>
        <w:pStyle w:val="rFootn"/>
      </w:pPr>
      <w:r>
        <w:rPr>
          <w:rStyle w:val="rFootnRef"/>
        </w:rPr>
        <w:footnoteRef/>
      </w:r>
      <w:r>
        <w:t xml:space="preserve"> Roughly 600 feet (183 meters)</w:t>
      </w:r>
    </w:p>
  </w:footnote>
  <w:footnote w:id="12927">
    <w:p>
      <w:pPr>
        <w:pStyle w:val="rFootn"/>
      </w:pPr>
      <w:r>
        <w:rPr>
          <w:rStyle w:val="rFootnRef"/>
        </w:rPr>
        <w:footnoteRef/>
      </w:r>
      <w:r>
        <w:t xml:space="preserve"> 75,000 pounds (34,019 kilograms)</w:t>
      </w:r>
    </w:p>
  </w:footnote>
  <w:footnote w:id="29757">
    <w:p>
      <w:pPr>
        <w:pStyle w:val="rFootn"/>
      </w:pPr>
      <w:r>
        <w:rPr>
          <w:rStyle w:val="rFootnRef"/>
        </w:rPr>
        <w:footnoteRef/>
      </w:r>
      <w:r>
        <w:t xml:space="preserve"> Roughly 1.25 pounds (567 grams)</w:t>
      </w:r>
    </w:p>
  </w:footnote>
  <w:footnote w:id="11821">
    <w:p>
      <w:pPr>
        <w:pStyle w:val="rFootn"/>
      </w:pPr>
      <w:r>
        <w:rPr>
          <w:rStyle w:val="rFootnRef"/>
        </w:rPr>
        <w:footnoteRef/>
      </w:r>
      <w:r>
        <w:t xml:space="preserve"> Masoretic text reads “Syrians”</w:t>
      </w:r>
    </w:p>
  </w:footnote>
  <w:footnote w:id="11368">
    <w:p>
      <w:pPr>
        <w:pStyle w:val="rFootn"/>
      </w:pPr>
      <w:r>
        <w:rPr>
          <w:rStyle w:val="rFootnRef"/>
        </w:rPr>
        <w:footnoteRef/>
      </w:r>
      <w:r>
        <w:t xml:space="preserve"> Or “things”</w:t>
      </w:r>
    </w:p>
  </w:footnote>
  <w:footnote w:id="31501">
    <w:p>
      <w:pPr>
        <w:pStyle w:val="rFootn"/>
      </w:pPr>
      <w:r>
        <w:rPr>
          <w:rStyle w:val="rFootnRef"/>
        </w:rPr>
        <w:footnoteRef/>
      </w:r>
      <w:r>
        <w:t xml:space="preserve"> Or “worship them”</w:t>
      </w:r>
    </w:p>
  </w:footnote>
  <w:footnote w:id="11758">
    <w:p>
      <w:pPr>
        <w:pStyle w:val="rFootn"/>
      </w:pPr>
      <w:r>
        <w:rPr>
          <w:rStyle w:val="rFootnRef"/>
        </w:rPr>
        <w:footnoteRef/>
      </w:r>
      <w:r>
        <w:t xml:space="preserve"> Lit. “fear”</w:t>
      </w:r>
    </w:p>
  </w:footnote>
  <w:footnote w:id="15625">
    <w:p>
      <w:pPr>
        <w:pStyle w:val="rFootn"/>
      </w:pPr>
      <w:r>
        <w:rPr>
          <w:rStyle w:val="rFootnRef"/>
        </w:rPr>
        <w:footnoteRef/>
      </w:r>
      <w:r>
        <w:t xml:space="preserve"> Called “Merodach-baladan” in Isa. 39:1</w:t>
      </w:r>
    </w:p>
  </w:footnote>
  <w:footnote w:id="11897">
    <w:p>
      <w:pPr>
        <w:pStyle w:val="rFootn"/>
      </w:pPr>
      <w:r>
        <w:rPr>
          <w:rStyle w:val="rFootnRef"/>
        </w:rPr>
        <w:footnoteRef/>
      </w:r>
      <w:r>
        <w:t xml:space="preserve"> Lit. “silver”</w:t>
      </w:r>
    </w:p>
  </w:footnote>
  <w:footnote w:id="28716">
    <w:p>
      <w:pPr>
        <w:pStyle w:val="rFootn"/>
      </w:pPr>
      <w:r>
        <w:rPr>
          <w:rStyle w:val="rFootnRef"/>
        </w:rPr>
        <w:footnoteRef/>
      </w:r>
      <w:r>
        <w:t xml:space="preserve"> Lit. “silver”</w:t>
      </w:r>
    </w:p>
  </w:footnote>
  <w:footnote w:id="11503">
    <w:p>
      <w:pPr>
        <w:pStyle w:val="rFootn"/>
      </w:pPr>
      <w:r>
        <w:rPr>
          <w:rStyle w:val="rFootnRef"/>
        </w:rPr>
        <w:footnoteRef/>
      </w:r>
      <w:r>
        <w:t xml:space="preserve"> Teraphim were household gods.</w:t>
      </w:r>
    </w:p>
  </w:footnote>
  <w:footnote w:id="23747">
    <w:p>
      <w:pPr>
        <w:pStyle w:val="rFootn"/>
      </w:pPr>
      <w:r>
        <w:rPr>
          <w:rStyle w:val="rFootnRef"/>
        </w:rPr>
        <w:footnoteRef/>
      </w:r>
      <w:r>
        <w:t xml:space="preserve"> 7,500 pounds (3,401 kilograms) of silver</w:t>
      </w:r>
    </w:p>
  </w:footnote>
  <w:footnote w:id="14865">
    <w:p>
      <w:pPr>
        <w:pStyle w:val="rFootn"/>
      </w:pPr>
      <w:r>
        <w:rPr>
          <w:rStyle w:val="rFootnRef"/>
        </w:rPr>
        <w:footnoteRef/>
      </w:r>
      <w:r>
        <w:t xml:space="preserve"> 75 pounds (34 kilograms) of gold</w:t>
      </w:r>
    </w:p>
  </w:footnote>
  <w:footnote w:id="17562">
    <w:p>
      <w:pPr>
        <w:pStyle w:val="rFootn"/>
      </w:pPr>
      <w:r>
        <w:rPr>
          <w:rStyle w:val="rFootnRef"/>
        </w:rPr>
        <w:footnoteRef/>
      </w:r>
      <w:r>
        <w:t xml:space="preserve"> The eighth year of Nebuchadnezzar’s reign</w:t>
      </w:r>
    </w:p>
  </w:footnote>
  <w:footnote w:id="27030">
    <w:p>
      <w:pPr>
        <w:pStyle w:val="rFootn"/>
      </w:pPr>
      <w:r>
        <w:rPr>
          <w:rStyle w:val="rFootnRef"/>
        </w:rPr>
        <w:footnoteRef/>
      </w:r>
      <w:r>
        <w:t xml:space="preserve"> 27 feet (8.2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088390">
    <w:multiLevelType w:val="hybridMultilevel"/>
    <w:lvl w:ilvl="0" w:tplc="59023716">
      <w:start w:val="1"/>
      <w:numFmt w:val="decimal"/>
      <w:lvlText w:val="%1."/>
      <w:lvlJc w:val="left"/>
      <w:pPr>
        <w:ind w:left="720" w:hanging="360"/>
      </w:pPr>
    </w:lvl>
    <w:lvl w:ilvl="1" w:tplc="59023716" w:tentative="1">
      <w:start w:val="1"/>
      <w:numFmt w:val="lowerLetter"/>
      <w:lvlText w:val="%2."/>
      <w:lvlJc w:val="left"/>
      <w:pPr>
        <w:ind w:left="1440" w:hanging="360"/>
      </w:pPr>
    </w:lvl>
    <w:lvl w:ilvl="2" w:tplc="59023716" w:tentative="1">
      <w:start w:val="1"/>
      <w:numFmt w:val="lowerRoman"/>
      <w:lvlText w:val="%3."/>
      <w:lvlJc w:val="right"/>
      <w:pPr>
        <w:ind w:left="2160" w:hanging="180"/>
      </w:pPr>
    </w:lvl>
    <w:lvl w:ilvl="3" w:tplc="59023716" w:tentative="1">
      <w:start w:val="1"/>
      <w:numFmt w:val="decimal"/>
      <w:lvlText w:val="%4."/>
      <w:lvlJc w:val="left"/>
      <w:pPr>
        <w:ind w:left="2880" w:hanging="360"/>
      </w:pPr>
    </w:lvl>
    <w:lvl w:ilvl="4" w:tplc="59023716" w:tentative="1">
      <w:start w:val="1"/>
      <w:numFmt w:val="lowerLetter"/>
      <w:lvlText w:val="%5."/>
      <w:lvlJc w:val="left"/>
      <w:pPr>
        <w:ind w:left="3600" w:hanging="360"/>
      </w:pPr>
    </w:lvl>
    <w:lvl w:ilvl="5" w:tplc="59023716" w:tentative="1">
      <w:start w:val="1"/>
      <w:numFmt w:val="lowerRoman"/>
      <w:lvlText w:val="%6."/>
      <w:lvlJc w:val="right"/>
      <w:pPr>
        <w:ind w:left="4320" w:hanging="180"/>
      </w:pPr>
    </w:lvl>
    <w:lvl w:ilvl="6" w:tplc="59023716" w:tentative="1">
      <w:start w:val="1"/>
      <w:numFmt w:val="decimal"/>
      <w:lvlText w:val="%7."/>
      <w:lvlJc w:val="left"/>
      <w:pPr>
        <w:ind w:left="5040" w:hanging="360"/>
      </w:pPr>
    </w:lvl>
    <w:lvl w:ilvl="7" w:tplc="59023716" w:tentative="1">
      <w:start w:val="1"/>
      <w:numFmt w:val="lowerLetter"/>
      <w:lvlText w:val="%8."/>
      <w:lvlJc w:val="left"/>
      <w:pPr>
        <w:ind w:left="5760" w:hanging="360"/>
      </w:pPr>
    </w:lvl>
    <w:lvl w:ilvl="8" w:tplc="59023716" w:tentative="1">
      <w:start w:val="1"/>
      <w:numFmt w:val="lowerRoman"/>
      <w:lvlText w:val="%9."/>
      <w:lvlJc w:val="right"/>
      <w:pPr>
        <w:ind w:left="6480" w:hanging="180"/>
      </w:pPr>
    </w:lvl>
  </w:abstractNum>
  <w:abstractNum w:abstractNumId="26910">
    <w:multiLevelType w:val="hybridMultilevel"/>
    <w:lvl w:ilvl="0" w:tplc="978018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10">
    <w:abstractNumId w:val="26910"/>
  </w:num>
  <w:num w:numId="93088390">
    <w:abstractNumId w:val="930883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0065056" Type="http://schemas.openxmlformats.org/officeDocument/2006/relationships/numbering" Target="numbering.xml"/><Relationship Id="rId425957458" Type="http://schemas.openxmlformats.org/officeDocument/2006/relationships/comments" Target="comments.xml"/><Relationship Id="rId949967bb2e154eb3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