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13876"/>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rFootnRef"/>
        </w:rPr>
        <w:footnoteReference w:id="10458"/>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rFootnRef"/>
        </w:rPr>
        <w:footnoteReference w:id="14179"/>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rFootnRef"/>
        </w:rPr>
        <w:footnoteReference w:id="25368"/>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rFootnRef"/>
        </w:rPr>
        <w:footnoteReference w:id="22109"/>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rFootnRef"/>
        </w:rPr>
        <w:footnoteReference w:id="18975"/>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rFootnRef"/>
        </w:rPr>
        <w:footnoteReference w:id="17663"/>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rFootnRef"/>
        </w:rPr>
        <w:footnoteReference w:id="30182"/>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rFootnRef"/>
        </w:rPr>
        <w:footnoteReference w:id="14751"/>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rFootnRef"/>
        </w:rPr>
        <w:footnoteReference w:id="11304"/>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rFootnRef"/>
        </w:rPr>
        <w:footnoteReference w:id="24452"/>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rFootnRef"/>
        </w:rPr>
        <w:footnoteReference w:id="11321"/>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rFootnRef"/>
        </w:rPr>
        <w:footnoteReference w:id="25523"/>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Appendix 16: “Usages of ‘Soul.’”]</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rFootnRef"/>
        </w:rPr>
        <w:footnoteReference w:id="19983"/>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rFootnRef"/>
        </w:rPr>
        <w:footnoteReference w:id="16276"/>
      </w:r>
      <w:r>
        <w:rPr/>
        <w:t xml:space="preserve"> and by R. B. Salters.</w:t>
      </w:r>
      <w:r>
        <w:rPr>
          <w:rStyle w:val="rFootnRef"/>
        </w:rPr>
        <w:footnoteReference w:id="32283"/>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NASB1995,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rFootnRef"/>
        </w:rPr>
        <w:footnoteReference w:id="29720"/>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rFootnRef"/>
        </w:rPr>
        <w:footnoteReference w:id="23860"/>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rFootnRef"/>
        </w:rPr>
        <w:footnoteReference w:id="16304"/>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Appendix 16: “Usages of ‘Soul.’”]</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rFootnRef"/>
        </w:rPr>
        <w:footnoteReference w:id="29005"/>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rFootnRef"/>
        </w:rPr>
        <w:footnoteReference w:id="12687"/>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rFootnRef"/>
        </w:rPr>
        <w:footnoteReference w:id="20690"/>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 (BDAG); be “dazzling, be aglow” (Strong’s). 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rFootnRef"/>
        </w:rPr>
        <w:footnoteReference w:id="14142"/>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rFootnRef"/>
        </w:rPr>
        <w:footnoteReference w:id="31221"/>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rFootnRef"/>
        </w:rPr>
        <w:footnoteReference w:id="11678"/>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rFootnRef"/>
        </w:rPr>
        <w:footnoteReference w:id="25276"/>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742367bb2e38c656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050097"/>
      <w:docPartObj>
        <w:docPartGallery w:val="Page Numbers (Bottom of Page)"/>
        <w:docPartUnique/>
      </w:docPartObj>
    </w:sdtPr>
    <w:sdtContent>
      <w:sdt>
        <w:sdtPr>
          <w:id w:val="8290769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876">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10458">
    <w:p>
      <w:pPr>
        <w:pStyle w:val="rFootn"/>
      </w:pPr>
      <w:r>
        <w:rPr>
          <w:rStyle w:val="rFootnRef"/>
        </w:rPr>
        <w:footnoteRef/>
      </w:r>
      <w:r>
        <w:t xml:space="preserve"> Christopher Wright, </w:t>
      </w:r>
      <w:r>
        <w:rPr>
          <w:i/>
        </w:rPr>
        <w:t xml:space="preserve">The Message of Lamentations</w:t>
      </w:r>
      <w:r>
        <w:t xml:space="preserve">,The Bible Speaks Today, 64.</w:t>
      </w:r>
    </w:p>
  </w:footnote>
  <w:footnote w:id="14179">
    <w:p>
      <w:pPr>
        <w:pStyle w:val="rFootn"/>
      </w:pPr>
      <w:r>
        <w:rPr>
          <w:rStyle w:val="rFootnRef"/>
        </w:rPr>
        <w:footnoteRef/>
      </w:r>
      <w:r>
        <w:t xml:space="preserve"> Leslie C. Allen, </w:t>
      </w:r>
      <w:r>
        <w:rPr>
          <w:i/>
        </w:rPr>
        <w:t xml:space="preserve">A Liturgy of Grief: A Pastoral Commentary on Lamentations</w:t>
      </w:r>
      <w:r>
        <w:t xml:space="preserve">, 42.</w:t>
      </w:r>
    </w:p>
  </w:footnote>
  <w:footnote w:id="25368">
    <w:p>
      <w:pPr>
        <w:pStyle w:val="rFootn"/>
      </w:pPr>
      <w:r>
        <w:rPr>
          <w:rStyle w:val="rFootnRef"/>
        </w:rPr>
        <w:footnoteRef/>
      </w:r>
      <w:r>
        <w:t xml:space="preserve"> John Goldingay, </w:t>
      </w:r>
      <w:r>
        <w:rPr>
          <w:i/>
        </w:rPr>
        <w:t xml:space="preserve">The Book of Lamentations</w:t>
      </w:r>
      <w:r>
        <w:t xml:space="preserve"> [NICOT], 73.</w:t>
      </w:r>
    </w:p>
  </w:footnote>
  <w:footnote w:id="22109">
    <w:p>
      <w:pPr>
        <w:pStyle w:val="rFootn"/>
      </w:pPr>
      <w:r>
        <w:rPr>
          <w:rStyle w:val="rFootnRef"/>
        </w:rPr>
        <w:footnoteRef/>
      </w:r>
      <w:r>
        <w:t xml:space="preserve"> John Goldingay, </w:t>
      </w:r>
      <w:r>
        <w:rPr>
          <w:i/>
        </w:rPr>
        <w:t xml:space="preserve">The Book of Lamentations</w:t>
      </w:r>
      <w:r>
        <w:t xml:space="preserve"> [NICOT], 74.</w:t>
      </w:r>
    </w:p>
  </w:footnote>
  <w:footnote w:id="18975">
    <w:p>
      <w:pPr>
        <w:pStyle w:val="rFootn"/>
      </w:pPr>
      <w:r>
        <w:rPr>
          <w:rStyle w:val="rFootnRef"/>
        </w:rPr>
        <w:footnoteRef/>
      </w:r>
      <w:r>
        <w:t xml:space="preserve"> Christopher Wright, </w:t>
      </w:r>
      <w:r>
        <w:rPr>
          <w:i/>
        </w:rPr>
        <w:t xml:space="preserve">The Message of Lamentations</w:t>
      </w:r>
      <w:r>
        <w:t xml:space="preserve"> [BST], 70-71.</w:t>
      </w:r>
    </w:p>
  </w:footnote>
  <w:footnote w:id="17663">
    <w:p>
      <w:pPr>
        <w:pStyle w:val="rFootn"/>
      </w:pPr>
      <w:r>
        <w:rPr>
          <w:rStyle w:val="rFootnRef"/>
        </w:rPr>
        <w:footnoteRef/>
      </w:r>
      <w:r>
        <w:t xml:space="preserve"> R. B. Salters, </w:t>
      </w:r>
      <w:r>
        <w:rPr>
          <w:i/>
        </w:rPr>
        <w:t xml:space="preserve">A Critical and Exegetical Commentary on Lamentations</w:t>
      </w:r>
      <w:r>
        <w:t xml:space="preserve"> [ICC], 80.</w:t>
      </w:r>
    </w:p>
  </w:footnote>
  <w:footnote w:id="30182">
    <w:p>
      <w:pPr>
        <w:pStyle w:val="rFootn"/>
      </w:pPr>
      <w:r>
        <w:rPr>
          <w:rStyle w:val="rFootnRef"/>
        </w:rPr>
        <w:footnoteRef/>
      </w:r>
      <w:r>
        <w:t xml:space="preserve"> Leslie Allen, </w:t>
      </w:r>
      <w:r>
        <w:rPr>
          <w:i/>
        </w:rPr>
        <w:t xml:space="preserve">A Liturgy of Grief</w:t>
      </w:r>
      <w:r>
        <w:t xml:space="preserve">, 111.</w:t>
      </w:r>
    </w:p>
  </w:footnote>
  <w:footnote w:id="14751">
    <w:p>
      <w:pPr>
        <w:pStyle w:val="rFootn"/>
      </w:pPr>
      <w:r>
        <w:rPr>
          <w:rStyle w:val="rFootnRef"/>
        </w:rPr>
        <w:footnoteRef/>
      </w:r>
      <w:r>
        <w:t xml:space="preserve"> Leslie Allen, </w:t>
      </w:r>
      <w:r>
        <w:rPr>
          <w:i/>
        </w:rPr>
        <w:t xml:space="preserve">A Liturgy of Grief</w:t>
      </w:r>
      <w:r>
        <w:t xml:space="preserve">, 65.</w:t>
      </w:r>
    </w:p>
  </w:footnote>
  <w:footnote w:id="11304">
    <w:p>
      <w:pPr>
        <w:pStyle w:val="rFootn"/>
      </w:pPr>
      <w:r>
        <w:rPr>
          <w:rStyle w:val="rFootnRef"/>
        </w:rPr>
        <w:footnoteRef/>
      </w:r>
      <w:r>
        <w:t xml:space="preserve"> R. B. Salters, </w:t>
      </w:r>
      <w:r>
        <w:rPr>
          <w:i/>
        </w:rPr>
        <w:t xml:space="preserve">Lamentations</w:t>
      </w:r>
      <w:r>
        <w:t xml:space="preserve"> [ICC], 131.</w:t>
      </w:r>
    </w:p>
  </w:footnote>
  <w:footnote w:id="24452">
    <w:p>
      <w:pPr>
        <w:pStyle w:val="rFootn"/>
      </w:pPr>
      <w:r>
        <w:rPr>
          <w:rStyle w:val="rFootnRef"/>
        </w:rPr>
        <w:footnoteRef/>
      </w:r>
      <w:r>
        <w:t xml:space="preserve"> For “whitewashed,” see Koehler and Baumgartner, </w:t>
      </w:r>
      <w:r>
        <w:rPr>
          <w:i/>
        </w:rPr>
        <w:t xml:space="preserve">HALOT Hebrew and Aramaic Lexicon</w:t>
      </w:r>
      <w:r>
        <w:t xml:space="preserve">.</w:t>
      </w:r>
    </w:p>
  </w:footnote>
  <w:footnote w:id="11321">
    <w:p>
      <w:pPr>
        <w:pStyle w:val="rFootn"/>
      </w:pPr>
      <w:r>
        <w:rPr>
          <w:rStyle w:val="rFootnRef"/>
        </w:rPr>
        <w:footnoteRef/>
      </w:r>
      <w:r>
        <w:t xml:space="preserve"> John Goldingay, </w:t>
      </w:r>
      <w:r>
        <w:rPr>
          <w:i/>
        </w:rPr>
        <w:t xml:space="preserve">The Book of Lamentations</w:t>
      </w:r>
      <w:r>
        <w:t xml:space="preserve"> [NICOT], 112.</w:t>
      </w:r>
    </w:p>
  </w:footnote>
  <w:footnote w:id="25523">
    <w:p>
      <w:pPr>
        <w:pStyle w:val="rFootn"/>
      </w:pPr>
      <w:r>
        <w:rPr>
          <w:rStyle w:val="rFootnRef"/>
        </w:rPr>
        <w:footnoteRef/>
      </w:r>
      <w:r>
        <w:t xml:space="preserve"> John Goldingay, </w:t>
      </w:r>
      <w:r>
        <w:rPr>
          <w:i/>
        </w:rPr>
        <w:t xml:space="preserve">The Book of Lamentations</w:t>
      </w:r>
      <w:r>
        <w:t xml:space="preserve"> [NICOT], 115-16.</w:t>
      </w:r>
    </w:p>
  </w:footnote>
  <w:footnote w:id="19983">
    <w:p>
      <w:pPr>
        <w:pStyle w:val="rFootn"/>
      </w:pPr>
      <w:r>
        <w:rPr>
          <w:rStyle w:val="rFootnRef"/>
        </w:rPr>
        <w:footnoteRef/>
      </w:r>
      <w:r>
        <w:t xml:space="preserve"> John Goldingay, </w:t>
      </w:r>
      <w:r>
        <w:rPr>
          <w:i/>
        </w:rPr>
        <w:t xml:space="preserve">The Book of Lamentations</w:t>
      </w:r>
      <w:r>
        <w:t xml:space="preserve"> [NICOT], 142.</w:t>
      </w:r>
    </w:p>
  </w:footnote>
  <w:footnote w:id="16276">
    <w:p>
      <w:pPr>
        <w:pStyle w:val="rFootn"/>
      </w:pPr>
      <w:r>
        <w:rPr>
          <w:rStyle w:val="rFootnRef"/>
        </w:rPr>
        <w:footnoteRef/>
      </w:r>
      <w:r>
        <w:t xml:space="preserve"> John Goldingay, </w:t>
      </w:r>
      <w:r>
        <w:rPr>
          <w:i/>
        </w:rPr>
        <w:t xml:space="preserve">The Book of Lamentations</w:t>
      </w:r>
      <w:r>
        <w:t xml:space="preserve"> [NICOT], 150-151.</w:t>
      </w:r>
    </w:p>
  </w:footnote>
  <w:footnote w:id="32283">
    <w:p>
      <w:pPr>
        <w:pStyle w:val="rFootn"/>
      </w:pPr>
      <w:r>
        <w:rPr>
          <w:rStyle w:val="rFootnRef"/>
        </w:rPr>
        <w:footnoteRef/>
      </w:r>
      <w:r>
        <w:t xml:space="preserve"> R. B. Salters, </w:t>
      </w:r>
      <w:r>
        <w:rPr>
          <w:i/>
        </w:rPr>
        <w:t xml:space="preserve">Lamentations</w:t>
      </w:r>
      <w:r>
        <w:t xml:space="preserve"> [ICC], 249.</w:t>
      </w:r>
    </w:p>
  </w:footnote>
  <w:footnote w:id="29720">
    <w:p>
      <w:pPr>
        <w:pStyle w:val="rFootn"/>
      </w:pPr>
      <w:r>
        <w:rPr>
          <w:rStyle w:val="rFootnRef"/>
        </w:rPr>
        <w:footnoteRef/>
      </w:r>
      <w:r>
        <w:t xml:space="preserve"> Koehler and Baumgartner, </w:t>
      </w:r>
      <w:r>
        <w:rPr>
          <w:i/>
        </w:rPr>
        <w:t xml:space="preserve">HALOT</w:t>
      </w:r>
      <w:r>
        <w:t xml:space="preserve">.</w:t>
      </w:r>
    </w:p>
  </w:footnote>
  <w:footnote w:id="23860">
    <w:p>
      <w:pPr>
        <w:pStyle w:val="rFootn"/>
      </w:pPr>
      <w:r>
        <w:rPr>
          <w:rStyle w:val="rFootnRef"/>
        </w:rPr>
        <w:footnoteRef/>
      </w:r>
      <w:r>
        <w:t xml:space="preserve"> </w:t>
      </w:r>
      <w:r>
        <w:rPr>
          <w:i/>
        </w:rPr>
        <w:t xml:space="preserve">HALOT</w:t>
      </w:r>
      <w:r>
        <w:t xml:space="preserve">; BDB.</w:t>
      </w:r>
    </w:p>
  </w:footnote>
  <w:footnote w:id="16304">
    <w:p>
      <w:pPr>
        <w:pStyle w:val="rFootn"/>
      </w:pPr>
      <w:r>
        <w:rPr>
          <w:rStyle w:val="rFootnRef"/>
        </w:rPr>
        <w:footnoteRef/>
      </w:r>
      <w:r>
        <w:t xml:space="preserve"> Koehler and Baumgartner, </w:t>
      </w:r>
      <w:r>
        <w:rPr>
          <w:i/>
        </w:rPr>
        <w:t xml:space="preserve">HALOT</w:t>
      </w:r>
      <w:r>
        <w:t xml:space="preserve">.</w:t>
      </w:r>
    </w:p>
  </w:footnote>
  <w:footnote w:id="29005">
    <w:p>
      <w:pPr>
        <w:pStyle w:val="rFootn"/>
      </w:pPr>
      <w:r>
        <w:rPr>
          <w:rStyle w:val="rFootnRef"/>
        </w:rPr>
        <w:footnoteRef/>
      </w:r>
      <w:r>
        <w:t xml:space="preserve"> Leslie Allen, </w:t>
      </w:r>
      <w:r>
        <w:rPr>
          <w:i/>
        </w:rPr>
        <w:t xml:space="preserve">A Liturgy of Grief</w:t>
      </w:r>
      <w:r>
        <w:t xml:space="preserve">, 124.</w:t>
      </w:r>
    </w:p>
  </w:footnote>
  <w:footnote w:id="12687">
    <w:p>
      <w:pPr>
        <w:pStyle w:val="rFootn"/>
      </w:pPr>
      <w:r>
        <w:rPr>
          <w:rStyle w:val="rFootnRef"/>
        </w:rPr>
        <w:footnoteRef/>
      </w:r>
      <w:r>
        <w:t xml:space="preserve"> Alice Parmelee, </w:t>
      </w:r>
      <w:r>
        <w:rPr>
          <w:i/>
        </w:rPr>
        <w:t xml:space="preserve">All the Birds of the Bible</w:t>
      </w:r>
      <w:r>
        <w:t xml:space="preserve">, 207.</w:t>
      </w:r>
    </w:p>
  </w:footnote>
  <w:footnote w:id="20690">
    <w:p>
      <w:pPr>
        <w:pStyle w:val="rFootn"/>
      </w:pPr>
      <w:r>
        <w:rPr>
          <w:rStyle w:val="rFootnRef"/>
        </w:rPr>
        <w:footnoteRef/>
      </w:r>
      <w:r>
        <w:t xml:space="preserve"> John Goldingay, </w:t>
      </w:r>
      <w:r>
        <w:rPr>
          <w:i/>
        </w:rPr>
        <w:t xml:space="preserve">The Book of Lamentations</w:t>
      </w:r>
      <w:r>
        <w:t xml:space="preserve"> [NICOT], 171.</w:t>
      </w:r>
    </w:p>
  </w:footnote>
  <w:footnote w:id="14142">
    <w:p>
      <w:pPr>
        <w:pStyle w:val="rFootn"/>
      </w:pPr>
      <w:r>
        <w:rPr>
          <w:rStyle w:val="rFootnRef"/>
        </w:rPr>
        <w:footnoteRef/>
      </w:r>
      <w:r>
        <w:t xml:space="preserve"> See commentary by John Goldingay, </w:t>
      </w:r>
      <w:r>
        <w:rPr>
          <w:i/>
        </w:rPr>
        <w:t xml:space="preserve">The Book of Lamentations</w:t>
      </w:r>
      <w:r>
        <w:t xml:space="preserve"> [NICOT], 175.</w:t>
      </w:r>
    </w:p>
  </w:footnote>
  <w:footnote w:id="31221">
    <w:p>
      <w:pPr>
        <w:pStyle w:val="rFootn"/>
      </w:pPr>
      <w:r>
        <w:rPr>
          <w:rStyle w:val="rFootnRef"/>
        </w:rPr>
        <w:footnoteRef/>
      </w:r>
      <w:r>
        <w:t xml:space="preserve"> Cf. John Goldingay, </w:t>
      </w:r>
      <w:r>
        <w:rPr>
          <w:i/>
        </w:rPr>
        <w:t xml:space="preserve">The Book of Lamentations</w:t>
      </w:r>
      <w:r>
        <w:t xml:space="preserve"> [NICOT], 176.</w:t>
      </w:r>
    </w:p>
  </w:footnote>
  <w:footnote w:id="11678">
    <w:p>
      <w:pPr>
        <w:pStyle w:val="rFootn"/>
      </w:pPr>
      <w:r>
        <w:rPr>
          <w:rStyle w:val="rFootnRef"/>
        </w:rPr>
        <w:footnoteRef/>
      </w:r>
      <w:r>
        <w:t xml:space="preserve"> John Goldengay, The Book of Lamentations, NICOT, p. 182</w:t>
      </w:r>
    </w:p>
  </w:footnote>
  <w:footnote w:id="25276">
    <w:p>
      <w:pPr>
        <w:pStyle w:val="rFootn"/>
      </w:pPr>
      <w:r>
        <w:rPr>
          <w:rStyle w:val="rFootnRef"/>
        </w:rPr>
        <w:footnoteRef/>
      </w:r>
      <w:r>
        <w:t xml:space="preserve"> Leslie Allen, </w:t>
      </w:r>
      <w:r>
        <w:rPr>
          <w:i/>
        </w:rPr>
        <w:t xml:space="preserve">A Liturgy of Grief</w:t>
      </w:r>
      <w:r>
        <w:t xml:space="preserve">, 161.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209782">
    <w:multiLevelType w:val="hybridMultilevel"/>
    <w:lvl w:ilvl="0" w:tplc="78280902">
      <w:start w:val="1"/>
      <w:numFmt w:val="decimal"/>
      <w:lvlText w:val="%1."/>
      <w:lvlJc w:val="left"/>
      <w:pPr>
        <w:ind w:left="720" w:hanging="360"/>
      </w:pPr>
    </w:lvl>
    <w:lvl w:ilvl="1" w:tplc="78280902" w:tentative="1">
      <w:start w:val="1"/>
      <w:numFmt w:val="lowerLetter"/>
      <w:lvlText w:val="%2."/>
      <w:lvlJc w:val="left"/>
      <w:pPr>
        <w:ind w:left="1440" w:hanging="360"/>
      </w:pPr>
    </w:lvl>
    <w:lvl w:ilvl="2" w:tplc="78280902" w:tentative="1">
      <w:start w:val="1"/>
      <w:numFmt w:val="lowerRoman"/>
      <w:lvlText w:val="%3."/>
      <w:lvlJc w:val="right"/>
      <w:pPr>
        <w:ind w:left="2160" w:hanging="180"/>
      </w:pPr>
    </w:lvl>
    <w:lvl w:ilvl="3" w:tplc="78280902" w:tentative="1">
      <w:start w:val="1"/>
      <w:numFmt w:val="decimal"/>
      <w:lvlText w:val="%4."/>
      <w:lvlJc w:val="left"/>
      <w:pPr>
        <w:ind w:left="2880" w:hanging="360"/>
      </w:pPr>
    </w:lvl>
    <w:lvl w:ilvl="4" w:tplc="78280902" w:tentative="1">
      <w:start w:val="1"/>
      <w:numFmt w:val="lowerLetter"/>
      <w:lvlText w:val="%5."/>
      <w:lvlJc w:val="left"/>
      <w:pPr>
        <w:ind w:left="3600" w:hanging="360"/>
      </w:pPr>
    </w:lvl>
    <w:lvl w:ilvl="5" w:tplc="78280902" w:tentative="1">
      <w:start w:val="1"/>
      <w:numFmt w:val="lowerRoman"/>
      <w:lvlText w:val="%6."/>
      <w:lvlJc w:val="right"/>
      <w:pPr>
        <w:ind w:left="4320" w:hanging="180"/>
      </w:pPr>
    </w:lvl>
    <w:lvl w:ilvl="6" w:tplc="78280902" w:tentative="1">
      <w:start w:val="1"/>
      <w:numFmt w:val="decimal"/>
      <w:lvlText w:val="%7."/>
      <w:lvlJc w:val="left"/>
      <w:pPr>
        <w:ind w:left="5040" w:hanging="360"/>
      </w:pPr>
    </w:lvl>
    <w:lvl w:ilvl="7" w:tplc="78280902" w:tentative="1">
      <w:start w:val="1"/>
      <w:numFmt w:val="lowerLetter"/>
      <w:lvlText w:val="%8."/>
      <w:lvlJc w:val="left"/>
      <w:pPr>
        <w:ind w:left="5760" w:hanging="360"/>
      </w:pPr>
    </w:lvl>
    <w:lvl w:ilvl="8" w:tplc="78280902" w:tentative="1">
      <w:start w:val="1"/>
      <w:numFmt w:val="lowerRoman"/>
      <w:lvlText w:val="%9."/>
      <w:lvlJc w:val="right"/>
      <w:pPr>
        <w:ind w:left="6480" w:hanging="180"/>
      </w:pPr>
    </w:lvl>
  </w:abstractNum>
  <w:abstractNum w:abstractNumId="22192">
    <w:multiLevelType w:val="hybridMultilevel"/>
    <w:lvl w:ilvl="0" w:tplc="257268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192">
    <w:abstractNumId w:val="22192"/>
  </w:num>
  <w:num w:numId="10209782">
    <w:abstractNumId w:val="102097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9558805" Type="http://schemas.openxmlformats.org/officeDocument/2006/relationships/numbering" Target="numbering.xml"/><Relationship Id="rId586794352" Type="http://schemas.openxmlformats.org/officeDocument/2006/relationships/comments" Target="comments.xml"/><Relationship Id="rId742367bb2e38c656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