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6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rFootnRef"/>
        </w:rPr>
        <w:footnoteReference w:id="22294"/>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28687"/>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rFootnRef"/>
        </w:rPr>
        <w:footnoteReference w:id="28661"/>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Appendix 15: “Usages of ‘Spirit.’”]</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rFootnRef"/>
        </w:rPr>
        <w:footnoteReference w:id="18939"/>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is the choice of Bruce Metzger for the reason he gives.</w:t>
      </w:r>
      <w:r>
        <w:rPr>
          <w:rStyle w:val="rFootnRef"/>
        </w:rPr>
        <w:footnoteReference w:id="10971"/>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rFootnRef"/>
        </w:rPr>
        <w:footnoteReference w:id="20241"/>
      </w:r>
      <w:r>
        <w:rPr/>
        <w:t xml:space="preserve"> for that which was promised, the gift. The apostles did not have to wait for the promise; it had been given long ago.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rFootnRef"/>
        </w:rPr>
        <w:footnoteReference w:id="17426"/>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 using the present tense “are…building,” instead of the future tense. If the friend was using strict English grammar he would use a future tense and say, “Are you going to build it today,” but in common English, as in common Greek, a present 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the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straw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rFootnRef"/>
        </w:rPr>
        <w:footnoteReference w:id="26441"/>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(see Word Study: “Adelphos”),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in a synagogue.</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rFootnRef"/>
        </w:rPr>
        <w:footnoteReference w:id="23118"/>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difficulties in translating this phrase. The first is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the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rFootnRef"/>
        </w:rPr>
        <w:footnoteReference w:id="16155"/>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rFootnRef"/>
        </w:rPr>
        <w:footnoteReference w:id="17467"/>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rFootnRef"/>
        </w:rPr>
        <w:footnoteReference w:id="18427"/>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rFootnRef"/>
        </w:rPr>
        <w:footnoteReference w:id="31005"/>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rFootnRef"/>
        </w:rPr>
        <w:footnoteReference w:id="27910"/>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rFootnRef"/>
        </w:rPr>
        <w:footnoteReference w:id="23182"/>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rFootnRef"/>
        </w:rPr>
        <w:footnoteReference w:id="28621"/>
      </w:r>
      <w:r>
        <w:rPr/>
        <w:t xml:space="preserve"> Baruch Levine agrees, and says that Leviticus 23:11, “uses the abbreviation </w:t>
      </w:r>
      <w:r>
        <w:rPr>
          <w:i/>
          <w:iCs/>
        </w:rPr>
        <w:t xml:space="preserve">Shabbat</w:t>
      </w:r>
      <w:r>
        <w:rPr/>
        <w:t xml:space="preserve"> in its normal sense of a particular day, the Sabbath.”</w:t>
      </w:r>
      <w:r>
        <w:rPr>
          <w:rStyle w:val="rFootnRef"/>
        </w:rPr>
        <w:footnoteReference w:id="29046"/>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Wednesday, Nisan 14. The day of his resurrection was Saturday, Nisan 17 just before sunset. His appearing to Mary Magdalene and then going up to God in the Temple was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(Passover), only one sheaf of grain was waved and that one sheaf was acceptable for all the people (Lev. 23:11). This symbolized that the one true sheaf, Jesus Christ, was the acceptable firstfruits for everyone else. During the Feast of Pentecost, there were two loaves of bread offered (Lev. 23:17), which could symbolize the Jews and Gentiles both being acceptable to God.</w:t>
      </w:r>
    </w:p>
    <w:p>
      <w:pPr>
        <w:pStyle w:val="rNormal"/>
        <w:widowControl w:val="on"/>
        <w:spacing w:before="240" w:after="240" w:line="240" w:lineRule="auto"/>
        <w:ind w:left="0" w:right="0"/>
        <w:jc w:val="left"/>
      </w:pPr>
      <w:r>
        <w:rPr/>
        <w:t xml:space="preserve">At Passover, the bread that the people ate was made without yeast, and yeast is usually a type for sin. So at Passover, the people ate the bread that had no “sin,” and the true bread without sin was Jesus Christ. In contrast to Passover, at the Feast of Pentecost, the two loaves were made with yeast (Exod. 34:22; Lev. 23:17). This symbolizes that Jews and Gentiles are acceptable to God in spite of our sin when we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Jesus Christ poured out from heaven the promised gift of holy spirit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most scholars recognize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rFootnRef"/>
        </w:rPr>
        <w:footnoteReference w:id="24686"/>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Appendix 15: “Usages of ‘Spirit.’”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the REV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rFootnRef"/>
        </w:rPr>
        <w:footnoteReference w:id="26100"/>
      </w:r>
      <w:r>
        <w:rPr/>
        <w:t xml:space="preserve"> “mighty acts; powerful works”;</w:t>
      </w:r>
      <w:r>
        <w:rPr>
          <w:rStyle w:val="rFootnRef"/>
        </w:rPr>
        <w:footnoteReference w:id="26098"/>
      </w:r>
      <w:r>
        <w:rPr/>
        <w:t xml:space="preserve"> “mighty works.”</w:t>
      </w:r>
      <w:r>
        <w:rPr>
          <w:rStyle w:val="rFootnRef"/>
        </w:rPr>
        <w:footnoteReference w:id="23159"/>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rFootnRef"/>
        </w:rPr>
        <w:footnoteReference w:id="22145"/>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rFootnRef"/>
        </w:rPr>
        <w:footnoteReference w:id="24893"/>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commentary on Rev. 20:13.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rFootnRef"/>
        </w:rPr>
        <w:footnoteReference w:id="27017"/>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Appendix 15: “Usages of ‘Spirit.’”]</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rFootnRef"/>
        </w:rPr>
        <w:footnoteReference w:id="13372"/>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rFootnRef"/>
        </w:rPr>
        <w:footnoteReference w:id="26916"/>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rFootnRef"/>
        </w:rPr>
        <w:footnoteReference w:id="14447"/>
      </w:r>
      <w:r>
        <w:rPr/>
        <w:t xml:space="preserve"> which would be close to noon, around 12:30 p.m. Yet he also points out that the Jerusalem Talmud says the practice was “The recital of the Shema in bed is the foundation; that is, after the stars have begun to appear.”</w:t>
      </w:r>
      <w:r>
        <w:rPr>
          <w:rStyle w:val="rFootnRef"/>
        </w:rPr>
        <w:footnoteReference w:id="18053"/>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rFootnRef"/>
        </w:rPr>
        <w:footnoteReference w:id="10598"/>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rFootnRef"/>
        </w:rPr>
        <w:footnoteReference w:id="31336"/>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rFootnRef"/>
        </w:rPr>
        <w:footnoteReference w:id="24773"/>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rFootnRef"/>
        </w:rPr>
        <w:footnoteReference w:id="26499"/>
      </w:r>
      <w:r>
        <w:rPr/>
        <w:t xml:space="preserve"> The use of this verb does not mean Peter is denying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rFootnRef"/>
        </w:rPr>
        <w:footnoteReference w:id="31774"/>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rFootnRef"/>
        </w:rPr>
        <w:footnoteReference w:id="25286"/>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rFootnRef"/>
        </w:rPr>
        <w:footnoteReference w:id="21759"/>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681"/>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2658"/>
      </w:r>
      <w:r>
        <w:rPr/>
        <w:t xml:space="preserve"> For the reason for the wording, “from among the dead,” see the REV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1417"/>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rFootnRef"/>
        </w:rPr>
        <w:footnoteReference w:id="16463"/>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rFootnRef"/>
        </w:rPr>
        <w:footnoteReference w:id="18198"/>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rFootnRef"/>
        </w:rPr>
        <w:footnoteReference w:id="11950"/>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rFootnRef"/>
        </w:rPr>
        <w:footnoteReference w:id="23922"/>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rFootnRef"/>
        </w:rPr>
        <w:footnoteReference w:id="28161"/>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rFootnRef"/>
        </w:rPr>
        <w:footnoteReference w:id="25029"/>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an example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rFootnRef"/>
        </w:rPr>
        <w:footnoteReference w:id="25041"/>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rFootnRef"/>
        </w:rPr>
        <w:footnoteReference w:id="20249"/>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rFootnRef"/>
        </w:rPr>
        <w:footnoteReference w:id="12297"/>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he bought to bury his wife Sarah in. Acts 7:5 is an important verse when it comes to understanding inheritance and rewards on the future earth. Abraham lived in the Promised Land and enjoyed its bounty, but never “owned” any of it, he did not have an inheritance in it. This should be somewhat comforting for Christians who are afraid of losing their salvation. Christian salvation is by birth and is permanent, but many Christians believe they can lose their salvation if they sin, and those Christians often use verses such as Galatians 5:21 to prove their point: “those who practice such things [as the list in Gal. 5:19-21] will not inherit the Kingdom of God.” But not “inheriting” the Kingdom of God does not mean a saved person will not be saved and in the Kingdom any more than Abraham not inheriting any of the Promised Land meant he did not live there—he did live there! Furthermore, God specifically told the Levites that they would not have a portion or inheritance in the Promised Land (Deut. 10:9). But the Levites got to live in the land even though they did not own it like the other tribes of Israel owned their land. So the Levites lived in the land but did not “inherit it.” Similarly, everyone who has believed in Christ and gotten born again and sealed with holy spirit will be in the Kingdom, but if they have lived an ungodly life after they got saved they may end up with no inheritance in it.</w:t>
      </w:r>
    </w:p>
    <w:p>
      <w:pPr>
        <w:pStyle w:val="rNormal"/>
        <w:widowControl w:val="on"/>
        <w:spacing w:before="240" w:after="240" w:line="240" w:lineRule="auto"/>
        <w:ind w:left="0" w:right="0"/>
        <w:jc w:val="left"/>
      </w:pPr>
      <w:r>
        <w:rPr/>
        <w:t xml:space="preserve">Once a person believes in Jesus Christ and gets born again, their salvation is secure. Salvation is by grace. But Christ is going to come to earth and set up his kingdom on earth, and at that time all the saved people will receive repayment for what they have done on earth (cf. 2 Cor. 5:10). Some people will be greatly rewarded and some people will get nothing. One of the kinds of rewards that people will receive clearly seems to be land (cf. Act 7:5; Dan. 12:13; Mic. 4:4), while another reward will be positions of authority in the Kingdom.</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in the Kingdom, see commentary on Gal. 5:21.]</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the REV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rFootnRef"/>
        </w:rPr>
        <w:footnoteReference w:id="32115"/>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rFootnRef"/>
        </w:rPr>
        <w:footnoteReference w:id="32602"/>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22990"/>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the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Appendix 16: “Usages of ‘Soul.’”]</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6394"/>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6394"/>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6394"/>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6394"/>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6394"/>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rFootnRef"/>
        </w:rPr>
        <w:footnoteReference w:id="20128"/>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rFootnRef"/>
        </w:rPr>
        <w:footnoteReference w:id="22567"/>
      </w:r>
      <w:r>
        <w:rPr/>
        <w:t xml:space="preserve"> All through the NT, Samaria refers to the district and not the town. So the understanding would be “the (main) city of Samaria,”</w:t>
      </w:r>
      <w:r>
        <w:rPr>
          <w:rStyle w:val="rFootnRef"/>
        </w:rPr>
        <w:footnoteReference w:id="30748"/>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rFootnRef"/>
        </w:rPr>
        <w:footnoteReference w:id="31614"/>
      </w:r>
      <w:r>
        <w:rPr/>
        <w:t xml:space="preserve"> Shechem would have been the center of religious activity of Samaria, it is “here the magician Simon would most naturally establish himself.”</w:t>
      </w:r>
      <w:r>
        <w:rPr>
          <w:rStyle w:val="rFootnRef"/>
        </w:rPr>
        <w:footnoteReference w:id="32425"/>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rFootnRef"/>
        </w:rPr>
        <w:footnoteReference w:id="31812"/>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rFootnRef"/>
        </w:rPr>
        <w:footnoteReference w:id="32586"/>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rFootnRef"/>
        </w:rPr>
        <w:footnoteReference w:id="12994"/>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rFootnRef"/>
        </w:rPr>
        <w:footnoteReference w:id="25465"/>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rFootnRef"/>
        </w:rPr>
        <w:footnoteReference w:id="20559"/>
      </w:r>
      <w:r>
        <w:rPr/>
        <w:t xml:space="preserve"> Friberg adds that </w:t>
      </w:r>
      <w:r>
        <w:rPr>
          <w:i/>
          <w:iCs/>
        </w:rPr>
        <w:t xml:space="preserve">epipiptō</w:t>
      </w:r>
      <w:r>
        <w:rPr/>
        <w:t xml:space="preserve"> is used of unexpected events, and thus can mean “come on, seize, happen suddenly.”</w:t>
      </w:r>
      <w:r>
        <w:rPr>
          <w:rStyle w:val="rFootnRef"/>
        </w:rPr>
        <w:footnoteReference w:id="22279"/>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rFootnRef"/>
        </w:rPr>
        <w:footnoteReference w:id="19929"/>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rFootnRef"/>
        </w:rPr>
        <w:footnoteReference w:id="28138"/>
      </w:r>
      <w:r>
        <w:rPr/>
        <w:t xml:space="preserve"> Likewise, Kistemaker writes, “This conditional statement relates not to God’s ability to forgive sin but to Simon’s willingness to repent.”</w:t>
      </w:r>
      <w:r>
        <w:rPr>
          <w:rStyle w:val="rFootnRef"/>
        </w:rPr>
        <w:footnoteReference w:id="11745"/>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Word Study: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rFootnRef"/>
        </w:rPr>
        <w:footnoteReference w:id="13576"/>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is too often misinterpreted to mean that they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w:t>
      </w:r>
      <w:r>
        <w:rPr>
          <w:b/>
          <w:bCs/>
          <w:i/>
          <w:iCs/>
        </w:rPr>
        <w:t xml:space="preserve">Jews</w:t>
      </w:r>
      <w:r>
        <w:rPr>
          <w:b/>
          <w:bCs/>
        </w:rPr>
        <w:t xml:space="preserve">.”</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rFootnRef"/>
        </w:rPr>
        <w:footnoteReference w:id="1748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rFootnRef"/>
        </w:rPr>
        <w:footnoteReference w:id="17607"/>
      </w:r>
      <w:r>
        <w:rPr/>
        <w:t xml:space="preserve"> Bullinger points out that </w:t>
      </w:r>
      <w:r>
        <w:rPr>
          <w:i/>
          <w:iCs/>
        </w:rPr>
        <w:t xml:space="preserve">eulabēs</w:t>
      </w:r>
      <w:r>
        <w:rPr/>
        <w:t xml:space="preserve"> is more about the “avoidance through godly fear of doing anything contrary to right”</w:t>
      </w:r>
      <w:r>
        <w:rPr>
          <w:rStyle w:val="rFootnRef"/>
        </w:rPr>
        <w:footnoteReference w:id="30929"/>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Pascal Lamb (Mark 14:12; Luke 22:7) and pagan sacrifice (Acts 14:13, 18; 1 Cor. 10:20). The same word can describe “pure” and “impure” religious sacrifice. Nevertheless, the Jews had very strict rules as to which animals were clean and able to be offered as sacrifice, and which animals were unclean and thus unfit for sacrifice. It is also helpful to remember that many of the animals that were sacrificed were eaten by the people in part, or in whole.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rFootnRef"/>
        </w:rPr>
        <w:footnoteReference w:id="27366"/>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rFootnRef"/>
        </w:rPr>
        <w:footnoteReference w:id="24044"/>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the commentary on Matthew 3:16.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rFootnRef"/>
        </w:rPr>
        <w:footnoteReference w:id="23367"/>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(coined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Christian salvation occurs in a moment of time. 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actually saved. Although some people change mentally or physically when they get born again, most do not notice any permanent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cf. Acts 2:38). Furthermore, God giving birth in us is an act of creation—God creates His nature inside us—and that is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and are not saved.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w:t>
      </w:r>
    </w:p>
    <w:p>
      <w:pPr>
        <w:pStyle w:val="rNormal"/>
        <w:widowControl w:val="on"/>
        <w:spacing w:before="240" w:after="240" w:line="240" w:lineRule="auto"/>
        <w:ind w:left="0" w:right="0"/>
        <w:jc w:val="left"/>
      </w:pPr>
      <w:r>
        <w:rPr/>
        <w:t xml:space="preserve">Christians are children of God (1 John 3:2), children by birth (1 Pet. 1:23), and that birth cannot be undone. We did not do it, and we cannot undo it. But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 For more about the New Birth, see commentary on 1 Pet. 1:3.]</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Appendix 15: “Usages of ‘Spirit.’”]</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the REV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804"/>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rFootnRef"/>
        </w:rPr>
        <w:footnoteReference w:id="29467"/>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rFootnRef"/>
        </w:rPr>
        <w:footnoteReference w:id="24937"/>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rFootnRef"/>
        </w:rPr>
        <w:footnoteReference w:id="23031"/>
      </w:r>
      <w:r>
        <w:rPr/>
        <w:t xml:space="preserve"> Bengel agrees and says the phrase, “Today I have become your Father,” in this context means: “This day I have definitely declared that Thou art my Son.”</w:t>
      </w:r>
      <w:r>
        <w:rPr>
          <w:rStyle w:val="rFootnRef"/>
        </w:rPr>
        <w:footnoteReference w:id="30452"/>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039"/>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rFootnRef"/>
        </w:rPr>
        <w:footnoteReference w:id="21089"/>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rFootnRef"/>
        </w:rPr>
        <w:footnoteReference w:id="12414"/>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rFootnRef"/>
        </w:rPr>
        <w:footnoteReference w:id="30129"/>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rFootnRef"/>
        </w:rPr>
        <w:footnoteReference w:id="23635"/>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33447088"/>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33447088"/>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33447088"/>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33447088"/>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rFootnRef"/>
        </w:rPr>
        <w:footnoteReference w:id="11095"/>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rFootnRef"/>
        </w:rPr>
        <w:footnoteReference w:id="30812"/>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rFootnRef"/>
        </w:rPr>
        <w:footnoteReference w:id="12378"/>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rFootnRef"/>
        </w:rPr>
        <w:footnoteReference w:id="12118"/>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rFootnRef"/>
        </w:rPr>
        <w:footnoteReference w:id="12016"/>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rFootnRef"/>
        </w:rPr>
        <w:footnoteReference w:id="27404"/>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rFootnRef"/>
        </w:rPr>
        <w:footnoteReference w:id="17680"/>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rFootnRef"/>
        </w:rPr>
        <w:footnoteReference w:id="26802"/>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rFootnRef"/>
        </w:rPr>
        <w:footnoteReference w:id="19236"/>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rFootnRef"/>
        </w:rPr>
        <w:footnoteReference w:id="13094"/>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rFootnRef"/>
        </w:rPr>
        <w:footnoteReference w:id="32116"/>
      </w:r>
      <w:r>
        <w:rPr/>
        <w:t xml:space="preserve"> Lenski writes, “</w:t>
      </w:r>
      <w:r>
        <w:rPr>
          <w:i/>
          <w:iCs/>
        </w:rPr>
        <w:t xml:space="preserve">dokeo</w:t>
      </w:r>
      <w:r>
        <w:rPr/>
        <w:t xml:space="preserve"> with the dative means that the assembly passed a formal resolution.”</w:t>
      </w:r>
      <w:r>
        <w:rPr>
          <w:rStyle w:val="rFootnRef"/>
        </w:rPr>
        <w:footnoteReference w:id="31803"/>
      </w:r>
      <w:r>
        <w:rPr/>
        <w:t xml:space="preserve"> This was probably done by a show of hands as in Acts 14:23.</w:t>
      </w:r>
      <w:r>
        <w:rPr>
          <w:rStyle w:val="rFootnRef"/>
        </w:rPr>
        <w:footnoteReference w:id="19203"/>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Appendix 15: “Usages of ‘Spirit.’”]</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rFootnRef"/>
        </w:rPr>
        <w:footnoteReference w:id="26969"/>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27555"/>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rFootnRef"/>
        </w:rPr>
        <w:footnoteReference w:id="14033"/>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rFootnRef"/>
        </w:rPr>
        <w:footnoteReference w:id="18640"/>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rFootnRef"/>
        </w:rPr>
        <w:footnoteReference w:id="26066"/>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rFootnRef"/>
        </w:rPr>
        <w:footnoteReference w:id="24266"/>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rFootnRef"/>
        </w:rPr>
        <w:footnoteReference w:id="17763"/>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rFootnRef"/>
        </w:rPr>
        <w:footnoteReference w:id="29530"/>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Micah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rFootnRef"/>
        </w:rPr>
        <w:footnoteReference w:id="32151"/>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rFootnRef"/>
        </w:rPr>
        <w:footnoteReference w:id="31392"/>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Word Study: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1165"/>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rFootnRef"/>
        </w:rPr>
        <w:footnoteReference w:id="22320"/>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rFootnRef"/>
        </w:rPr>
        <w:footnoteReference w:id="19746"/>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rFootnRef"/>
        </w:rPr>
        <w:footnoteReference w:id="17487"/>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rFootnRef"/>
        </w:rPr>
        <w:footnoteReference w:id="29961"/>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rFootnRef"/>
        </w:rPr>
        <w:footnoteReference w:id="26873"/>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rFootnRef"/>
        </w:rPr>
        <w:footnoteReference w:id="17775"/>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rFootnRef"/>
        </w:rPr>
        <w:footnoteReference w:id="14680"/>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rFootnRef"/>
        </w:rPr>
        <w:footnoteReference w:id="31279"/>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w:t>
      </w:r>
      <w:hyperlink r:id="rId813867bb2e4940dd3" w:history="1">
        <w:r>
          <w:rPr>
            <w:u w:val="single"/>
          </w:rPr>
          <w:t xml:space="preserve">#1722</w:t>
        </w:r>
      </w:hyperlink>
      <w:r>
        <w:rPr/>
        <w:t xml:space="preserve">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rFootnRef"/>
        </w:rPr>
        <w:footnoteReference w:id="11647"/>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rFootnRef"/>
        </w:rPr>
        <w:footnoteReference w:id="31477"/>
      </w:r>
      <w:r>
        <w:rPr/>
        <w:t xml:space="preserve"> and R. C. H. Lenski</w:t>
      </w:r>
      <w:r>
        <w:rPr>
          <w:rStyle w:val="rFootnRef"/>
        </w:rPr>
        <w:footnoteReference w:id="21831"/>
      </w:r>
      <w:r>
        <w:rPr/>
        <w:t xml:space="preserve">); “the Divine Nature” (NASB, NKJV, and A. Nyland</w:t>
      </w:r>
      <w:r>
        <w:rPr>
          <w:rStyle w:val="rFootnRef"/>
        </w:rPr>
        <w:footnoteReference w:id="24223"/>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rFootnRef"/>
        </w:rPr>
        <w:footnoteReference w:id="16921"/>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9943"/>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rFootnRef"/>
        </w:rPr>
        <w:footnoteReference w:id="18641"/>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rFootnRef"/>
        </w:rPr>
        <w:footnoteReference w:id="13051"/>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29463"/>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rFootnRef"/>
        </w:rPr>
        <w:footnoteReference w:id="28029"/>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rFootnRef"/>
        </w:rPr>
        <w:footnoteReference w:id="29027"/>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rFootnRef"/>
        </w:rPr>
        <w:footnoteReference w:id="15504"/>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Appendix 15: “Usages of ‘Spirit.’”]</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rFootnRef"/>
        </w:rPr>
        <w:footnoteReference w:id="14741"/>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rFootnRef"/>
        </w:rPr>
        <w:footnoteReference w:id="29854"/>
      </w:r>
      <w:r>
        <w:rPr/>
        <w:t xml:space="preserve"> R. C. H. Lenski adds, “And ‘what’ (neuter gender) shows that Paul had in mind, ‘in connection with what name?”</w:t>
      </w:r>
      <w:r>
        <w:rPr>
          <w:rStyle w:val="rFootnRef"/>
        </w:rPr>
        <w:footnoteReference w:id="27377"/>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rFootnRef"/>
        </w:rPr>
        <w:footnoteReference w:id="11161"/>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Appendix 15: “Usages of ‘Spirit.’”]</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Appendix 16: “Usages of ‘Soul.’”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rFootnRef"/>
        </w:rPr>
        <w:footnoteReference w:id="23276"/>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rFootnRef"/>
        </w:rPr>
        <w:footnoteReference w:id="30491"/>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rFootnRef"/>
        </w:rPr>
        <w:footnoteReference w:id="21097"/>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rFootnRef"/>
        </w:rPr>
        <w:footnoteReference w:id="20810"/>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Appendix 15: “Usages of ‘Spirit.’”]</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rFootnRef"/>
        </w:rPr>
        <w:footnoteReference w:id="20731"/>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rFootnRef"/>
        </w:rPr>
        <w:footnoteReference w:id="26686"/>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rFootnRef"/>
        </w:rPr>
        <w:footnoteReference w:id="2040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rFootnRef"/>
        </w:rPr>
        <w:footnoteReference w:id="26413"/>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rFootnRef"/>
        </w:rPr>
        <w:footnoteReference w:id="15647"/>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rFootnRef"/>
        </w:rPr>
        <w:footnoteReference w:id="11767"/>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24357"/>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20775"/>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10437"/>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30982"/>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rFootnRef"/>
        </w:rPr>
        <w:footnoteReference w:id="27944"/>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the REV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rFootnRef"/>
        </w:rPr>
        <w:footnoteReference w:id="30706"/>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the REV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rFootnRef"/>
        </w:rPr>
        <w:footnoteReference w:id="16915"/>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rFootnRef"/>
        </w:rPr>
        <w:footnoteReference w:id="10215"/>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rFootnRef"/>
        </w:rPr>
        <w:footnoteReference w:id="10423"/>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 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rFootnRef"/>
        </w:rPr>
        <w:footnoteReference w:id="14004"/>
      </w:r>
      <w:r>
        <w:rPr/>
        <w:t xml:space="preserve"> It is also a maritime technical term for “sailed along” or “sailed beside,”</w:t>
      </w:r>
      <w:r>
        <w:rPr>
          <w:rStyle w:val="rFootnRef"/>
        </w:rPr>
        <w:footnoteReference w:id="20917"/>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but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rFootnRef"/>
        </w:rPr>
        <w:footnoteReference w:id="29512"/>
      </w:r>
      <w:r>
        <w:rPr/>
        <w:t xml:space="preserve">) the sea.</w:t>
      </w:r>
      <w:r>
        <w:rPr>
          <w:rStyle w:val="rFootnRef"/>
        </w:rPr>
        <w:footnoteReference w:id="31964"/>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rFootnRef"/>
        </w:rPr>
        <w:footnoteReference w:id="12761"/>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the commentary on Rom. 9:18. For a good example of the idiom of permission see the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rFootnRef"/>
        </w:rPr>
        <w:footnoteReference w:id="30213"/>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were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rFootnRef"/>
        </w:rPr>
        <w:footnoteReference w:id="32552"/>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345567bb2e48783b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2783293"/>
      <w:docPartObj>
        <w:docPartGallery w:val="Page Numbers (Bottom of Page)"/>
        <w:docPartUnique/>
      </w:docPartObj>
    </w:sdtPr>
    <w:sdtContent>
      <w:sdt>
        <w:sdtPr>
          <w:id w:val="5905535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294">
    <w:p>
      <w:pPr>
        <w:pStyle w:val="rFootn"/>
      </w:pPr>
      <w:r>
        <w:rPr>
          <w:rStyle w:val="rFootnRef"/>
        </w:rPr>
        <w:footnoteRef/>
      </w:r>
      <w:r>
        <w:t xml:space="preserve"> Wallace, </w:t>
      </w:r>
      <w:r>
        <w:rPr>
          <w:i/>
        </w:rPr>
        <w:t xml:space="preserve">Greek Grammar Beyond the Basics</w:t>
      </w:r>
      <w:r>
        <w:t xml:space="preserve">, 247.</w:t>
      </w:r>
    </w:p>
  </w:footnote>
  <w:footnote w:id="28687">
    <w:p>
      <w:pPr>
        <w:pStyle w:val="rFootn"/>
      </w:pPr>
      <w:r>
        <w:rPr>
          <w:rStyle w:val="rFootnRef"/>
        </w:rPr>
        <w:footnoteRef/>
      </w:r>
      <w:r>
        <w:t xml:space="preserve"> Robertson, </w:t>
      </w:r>
      <w:r>
        <w:rPr>
          <w:i/>
        </w:rPr>
        <w:t xml:space="preserve">Grammar of the Greek New Testament</w:t>
      </w:r>
      <w:r>
        <w:t xml:space="preserve">, 790-92.</w:t>
      </w:r>
    </w:p>
  </w:footnote>
  <w:footnote w:id="28661">
    <w:p>
      <w:pPr>
        <w:pStyle w:val="rFootn"/>
      </w:pPr>
      <w:r>
        <w:rPr>
          <w:rStyle w:val="rFootnRef"/>
        </w:rPr>
        <w:footnoteRef/>
      </w:r>
      <w:r>
        <w:t xml:space="preserve"> See Graeser, Lynn, and Schoenheit, </w:t>
      </w:r>
      <w:r>
        <w:rPr>
          <w:i/>
        </w:rPr>
        <w:t xml:space="preserve">The Gift of Holy Spirit: The Power to be Like Christ</w:t>
      </w:r>
      <w:r>
        <w:t xml:space="preserve">.</w:t>
      </w:r>
    </w:p>
  </w:footnote>
  <w:footnote w:id="18939">
    <w:p>
      <w:pPr>
        <w:pStyle w:val="rFootn"/>
      </w:pPr>
      <w:r>
        <w:rPr>
          <w:rStyle w:val="rFootnRef"/>
        </w:rPr>
        <w:footnoteRef/>
      </w:r>
      <w:r>
        <w:t xml:space="preserve"> Lenski, </w:t>
      </w:r>
      <w:r>
        <w:rPr>
          <w:i/>
        </w:rPr>
        <w:t xml:space="preserve">The Interpretation of the Acts of the Apostles</w:t>
      </w:r>
      <w:r>
        <w:t xml:space="preserve">, 22.</w:t>
      </w:r>
    </w:p>
  </w:footnote>
  <w:footnote w:id="10971">
    <w:p>
      <w:pPr>
        <w:pStyle w:val="rFootn"/>
      </w:pPr>
      <w:r>
        <w:rPr>
          <w:rStyle w:val="rFootnRef"/>
        </w:rPr>
        <w:footnoteRef/>
      </w:r>
      <w:r>
        <w:t xml:space="preserve"> Cf. Metzger, </w:t>
      </w:r>
      <w:r>
        <w:rPr>
          <w:i/>
        </w:rPr>
        <w:t xml:space="preserve">A Textual Commentary of the Greek New Testament</w:t>
      </w:r>
      <w:r>
        <w:t xml:space="preserve">, 278-79.</w:t>
      </w:r>
    </w:p>
  </w:footnote>
  <w:footnote w:id="20241">
    <w:p>
      <w:pPr>
        <w:pStyle w:val="rFootn"/>
      </w:pPr>
      <w:r>
        <w:rPr>
          <w:rStyle w:val="rFootnRef"/>
        </w:rPr>
        <w:footnoteRef/>
      </w:r>
      <w:r>
        <w:t xml:space="preserve"> Cf. Bullinger, </w:t>
      </w:r>
      <w:r>
        <w:rPr>
          <w:i/>
        </w:rPr>
        <w:t xml:space="preserve">Figures of Speech Used in the Bible</w:t>
      </w:r>
      <w:r>
        <w:t xml:space="preserve">, 538, “metonymy.”</w:t>
      </w:r>
    </w:p>
  </w:footnote>
  <w:footnote w:id="17426">
    <w:p>
      <w:pPr>
        <w:pStyle w:val="rFootn"/>
      </w:pPr>
      <w:r>
        <w:rPr>
          <w:rStyle w:val="rFootnRef"/>
        </w:rPr>
        <w:footnoteRef/>
      </w:r>
      <w:r>
        <w:t xml:space="preserve"> R. C. H. Lenski, </w:t>
      </w:r>
      <w:r>
        <w:rPr>
          <w:i/>
        </w:rPr>
        <w:t xml:space="preserve">Acts of the Apostles</w:t>
      </w:r>
      <w:r>
        <w:t xml:space="preserve">, 26; A. T. Robertson, </w:t>
      </w:r>
      <w:r>
        <w:rPr>
          <w:i/>
        </w:rPr>
        <w:t xml:space="preserve">Greek Grammar</w:t>
      </w:r>
      <w:r>
        <w:t xml:space="preserve">, 1001.</w:t>
      </w:r>
    </w:p>
  </w:footnote>
  <w:footnote w:id="26441">
    <w:p>
      <w:pPr>
        <w:pStyle w:val="rFootn"/>
      </w:pPr>
      <w:r>
        <w:rPr>
          <w:rStyle w:val="rFootnRef"/>
        </w:rPr>
        <w:footnoteRef/>
      </w:r>
      <w:r>
        <w:t xml:space="preserve"> Robertson, </w:t>
      </w:r>
      <w:r>
        <w:rPr>
          <w:i/>
        </w:rPr>
        <w:t xml:space="preserve">Word Pictures in the New Testament</w:t>
      </w:r>
      <w:r>
        <w:t xml:space="preserve">, 3:14.</w:t>
      </w:r>
    </w:p>
  </w:footnote>
  <w:footnote w:id="23118">
    <w:p>
      <w:pPr>
        <w:pStyle w:val="rFootn"/>
      </w:pPr>
      <w:r>
        <w:rPr>
          <w:rStyle w:val="rFootnRef"/>
        </w:rPr>
        <w:footnoteRef/>
      </w:r>
      <w:r>
        <w:t xml:space="preserve"> R. C. H. Lenski, </w:t>
      </w:r>
      <w:r>
        <w:rPr>
          <w:i/>
        </w:rPr>
        <w:t xml:space="preserve">Acts of the Apostles</w:t>
      </w:r>
      <w:r>
        <w:t xml:space="preserve">, 44.</w:t>
      </w:r>
    </w:p>
  </w:footnote>
  <w:footnote w:id="16155">
    <w:p>
      <w:pPr>
        <w:pStyle w:val="rFootn"/>
      </w:pPr>
      <w:r>
        <w:rPr>
          <w:rStyle w:val="rFootnRef"/>
        </w:rPr>
        <w:footnoteRef/>
      </w:r>
      <w:r>
        <w:t xml:space="preserve"> G. Aldrete, </w:t>
      </w:r>
      <w:r>
        <w:rPr>
          <w:i/>
        </w:rPr>
        <w:t xml:space="preserve">Daily Life in the Roman City</w:t>
      </w:r>
      <w:r>
        <w:t xml:space="preserve">, 97-98.</w:t>
      </w:r>
    </w:p>
  </w:footnote>
  <w:footnote w:id="17467">
    <w:p>
      <w:pPr>
        <w:pStyle w:val="rFootn"/>
      </w:pPr>
      <w:r>
        <w:rPr>
          <w:rStyle w:val="rFootnRef"/>
        </w:rPr>
        <w:footnoteRef/>
      </w:r>
      <w:r>
        <w:t xml:space="preserve"> Cf. Friberg, Louw and Nida, and BDAG, s.v. “πρηνής.”</w:t>
      </w:r>
    </w:p>
  </w:footnote>
  <w:footnote w:id="18427">
    <w:p>
      <w:pPr>
        <w:pStyle w:val="rFootn"/>
      </w:pPr>
      <w:r>
        <w:rPr>
          <w:rStyle w:val="rFootnRef"/>
        </w:rPr>
        <w:footnoteRef/>
      </w:r>
      <w:r>
        <w:t xml:space="preserve"> F. F. Bruce, </w:t>
      </w:r>
      <w:r>
        <w:rPr>
          <w:i/>
        </w:rPr>
        <w:t xml:space="preserve">The Book of Acts</w:t>
      </w:r>
      <w:r>
        <w:t xml:space="preserve"> [NICNT], 49n66.</w:t>
      </w:r>
    </w:p>
  </w:footnote>
  <w:footnote w:id="31005">
    <w:p>
      <w:pPr>
        <w:pStyle w:val="rFootn"/>
      </w:pPr>
      <w:r>
        <w:rPr>
          <w:rStyle w:val="rFootnRef"/>
        </w:rPr>
        <w:footnoteRef/>
      </w:r>
      <w:r>
        <w:t xml:space="preserve"> Victor Paul Wierwille, </w:t>
      </w:r>
      <w:r>
        <w:rPr>
          <w:i/>
        </w:rPr>
        <w:t xml:space="preserve">Jesus Christ Our Passover</w:t>
      </w:r>
      <w:r>
        <w:t xml:space="preserve">.</w:t>
      </w:r>
    </w:p>
  </w:footnote>
  <w:footnote w:id="27910">
    <w:p>
      <w:pPr>
        <w:pStyle w:val="rFootn"/>
      </w:pPr>
      <w:r>
        <w:rPr>
          <w:rStyle w:val="rFootnRef"/>
        </w:rPr>
        <w:footnoteRef/>
      </w:r>
      <w:r>
        <w:t xml:space="preserve"> </w:t>
      </w:r>
      <w:r>
        <w:rPr>
          <w:i/>
        </w:rPr>
        <w:t xml:space="preserve">Meyer’s Commenary: Acts</w:t>
      </w:r>
      <w:r>
        <w:t xml:space="preserve">, 33.</w:t>
      </w:r>
    </w:p>
  </w:footnote>
  <w:footnote w:id="23182">
    <w:p>
      <w:pPr>
        <w:pStyle w:val="rFootn"/>
      </w:pPr>
      <w:r>
        <w:rPr>
          <w:rStyle w:val="rFootnRef"/>
        </w:rPr>
        <w:footnoteRef/>
      </w:r>
      <w:r>
        <w:t xml:space="preserve"> J. van Goudoever, </w:t>
      </w:r>
      <w:r>
        <w:rPr>
          <w:i/>
        </w:rPr>
        <w:t xml:space="preserve">Biblical Calendars</w:t>
      </w:r>
      <w:r>
        <w:t xml:space="preserve">, 18.</w:t>
      </w:r>
    </w:p>
  </w:footnote>
  <w:footnote w:id="28621">
    <w:p>
      <w:pPr>
        <w:pStyle w:val="rFootn"/>
      </w:pPr>
      <w:r>
        <w:rPr>
          <w:rStyle w:val="rFootnRef"/>
        </w:rPr>
        <w:footnoteRef/>
      </w:r>
      <w:r>
        <w:t xml:space="preserve"> Goudoever, </w:t>
      </w:r>
      <w:r>
        <w:rPr>
          <w:i/>
        </w:rPr>
        <w:t xml:space="preserve">Biblical Calendars</w:t>
      </w:r>
      <w:r>
        <w:t xml:space="preserve">, 19.</w:t>
      </w:r>
    </w:p>
  </w:footnote>
  <w:footnote w:id="29046">
    <w:p>
      <w:pPr>
        <w:pStyle w:val="rFootn"/>
      </w:pPr>
      <w:r>
        <w:rPr>
          <w:rStyle w:val="rFootnRef"/>
        </w:rPr>
        <w:footnoteRef/>
      </w:r>
      <w:r>
        <w:t xml:space="preserve"> Baruch Levine, </w:t>
      </w:r>
      <w:r>
        <w:rPr>
          <w:i/>
        </w:rPr>
        <w:t xml:space="preserve">The JPS Torah Commentary: Leviticus</w:t>
      </w:r>
      <w:r>
        <w:t xml:space="preserve">.</w:t>
      </w:r>
    </w:p>
  </w:footnote>
  <w:footnote w:id="24686">
    <w:p>
      <w:pPr>
        <w:pStyle w:val="rFootn"/>
      </w:pPr>
      <w:r>
        <w:rPr>
          <w:rStyle w:val="rFootnRef"/>
        </w:rPr>
        <w:footnoteRef/>
      </w:r>
      <w:r>
        <w:t xml:space="preserve"> Louw and Nida, s.v. “διαμερίζω.”</w:t>
      </w:r>
    </w:p>
  </w:footnote>
  <w:footnote w:id="26100">
    <w:p>
      <w:pPr>
        <w:pStyle w:val="rFootn"/>
      </w:pPr>
      <w:r>
        <w:rPr>
          <w:rStyle w:val="rFootnRef"/>
        </w:rPr>
        <w:footnoteRef/>
      </w:r>
      <w:r>
        <w:t xml:space="preserve"> BDAG, s.v. “μεγαλεῖος.”</w:t>
      </w:r>
    </w:p>
  </w:footnote>
  <w:footnote w:id="26098">
    <w:p>
      <w:pPr>
        <w:pStyle w:val="rFootn"/>
      </w:pPr>
      <w:r>
        <w:rPr>
          <w:rStyle w:val="rFootnRef"/>
        </w:rPr>
        <w:footnoteRef/>
      </w:r>
      <w:r>
        <w:t xml:space="preserve"> Friberg, s.v. “μεγαλεῖος.”</w:t>
      </w:r>
    </w:p>
  </w:footnote>
  <w:footnote w:id="23159">
    <w:p>
      <w:pPr>
        <w:pStyle w:val="rFootn"/>
      </w:pPr>
      <w:r>
        <w:rPr>
          <w:rStyle w:val="rFootnRef"/>
        </w:rPr>
        <w:footnoteRef/>
      </w:r>
      <w:r>
        <w:t xml:space="preserve"> Thayer, s.v. “μεγαλεῖος.”</w:t>
      </w:r>
    </w:p>
  </w:footnote>
  <w:footnote w:id="22145">
    <w:p>
      <w:pPr>
        <w:pStyle w:val="rFootn"/>
      </w:pPr>
      <w:r>
        <w:rPr>
          <w:rStyle w:val="rFootnRef"/>
        </w:rPr>
        <w:footnoteRef/>
      </w:r>
      <w:r>
        <w:t xml:space="preserve"> BDAG; Thayer; Louw and Nida; Friberg; s.v. “γλεῦκος.”</w:t>
      </w:r>
    </w:p>
  </w:footnote>
  <w:footnote w:id="24893">
    <w:p>
      <w:pPr>
        <w:pStyle w:val="rFootn"/>
      </w:pPr>
      <w:r>
        <w:rPr>
          <w:rStyle w:val="rFootnRef"/>
        </w:rPr>
        <w:footnoteRef/>
      </w:r>
      <w:r>
        <w:t xml:space="preserve"> Joseph A. Fitzmyer, </w:t>
      </w:r>
      <w:r>
        <w:rPr>
          <w:i/>
        </w:rPr>
        <w:t xml:space="preserve">The Acts of the Apostles</w:t>
      </w:r>
      <w:r>
        <w:t xml:space="preserve"> [AB], 252.</w:t>
      </w:r>
    </w:p>
  </w:footnote>
  <w:footnote w:id="27017">
    <w:p>
      <w:pPr>
        <w:pStyle w:val="rFootn"/>
      </w:pPr>
      <w:r>
        <w:rPr>
          <w:rStyle w:val="rFootnRef"/>
        </w:rPr>
        <w:footnoteRef/>
      </w:r>
      <w:r>
        <w:t xml:space="preserve"> Cf. BDAG, s.v. “ὅσιος.”</w:t>
      </w:r>
    </w:p>
  </w:footnote>
  <w:footnote w:id="13372">
    <w:p>
      <w:pPr>
        <w:pStyle w:val="rFootn"/>
      </w:pPr>
      <w:r>
        <w:rPr>
          <w:rStyle w:val="rFootnRef"/>
        </w:rPr>
        <w:footnoteRef/>
      </w:r>
      <w:r>
        <w:t xml:space="preserve"> Thayer, </w:t>
      </w:r>
      <w:r>
        <w:rPr>
          <w:i/>
        </w:rPr>
        <w:t xml:space="preserve">Thayer’s Greek-English Lexicon</w:t>
      </w:r>
      <w:r>
        <w:t xml:space="preserve">, s.v. “κοινωνία.”</w:t>
      </w:r>
    </w:p>
  </w:footnote>
  <w:footnote w:id="26916">
    <w:p>
      <w:pPr>
        <w:pStyle w:val="rFootn"/>
      </w:pPr>
      <w:r>
        <w:rPr>
          <w:rStyle w:val="rFootnRef"/>
        </w:rPr>
        <w:footnoteRef/>
      </w:r>
      <w:r>
        <w:t xml:space="preserve"> Wikipedia, “Koinonia,” accessed October 4, 2024, https://en.wikipedia.org/wiki/Koinonia.</w:t>
      </w:r>
    </w:p>
  </w:footnote>
  <w:footnote w:id="14447">
    <w:p>
      <w:pPr>
        <w:pStyle w:val="rFootn"/>
      </w:pPr>
      <w:r>
        <w:rPr>
          <w:rStyle w:val="rFootnRef"/>
        </w:rPr>
        <w:footnoteRef/>
      </w:r>
      <w:r>
        <w:t xml:space="preserve"> John Lightfoot, </w:t>
      </w:r>
      <w:r>
        <w:rPr>
          <w:i/>
        </w:rPr>
        <w:t xml:space="preserve">A Commentary on the New Testament from the Talmud and Hebraica</w:t>
      </w:r>
    </w:p>
  </w:footnote>
  <w:footnote w:id="18053">
    <w:p>
      <w:pPr>
        <w:pStyle w:val="rFootn"/>
      </w:pPr>
      <w:r>
        <w:rPr>
          <w:rStyle w:val="rFootnRef"/>
        </w:rPr>
        <w:footnoteRef/>
      </w:r>
      <w:r>
        <w:t xml:space="preserve"> Lightfoot, </w:t>
      </w:r>
      <w:r>
        <w:rPr>
          <w:i/>
        </w:rPr>
        <w:t xml:space="preserve">A Commentary on the New Testament from the Talmud and Hebraica</w:t>
      </w:r>
      <w:r>
        <w:t xml:space="preserve">, 8:386.</w:t>
      </w:r>
    </w:p>
  </w:footnote>
  <w:footnote w:id="10598">
    <w:p>
      <w:pPr>
        <w:pStyle w:val="rFootn"/>
      </w:pPr>
      <w:r>
        <w:rPr>
          <w:rStyle w:val="rFootnRef"/>
        </w:rPr>
        <w:footnoteRef/>
      </w:r>
      <w:r>
        <w:t xml:space="preserve"> Bruce, </w:t>
      </w:r>
      <w:r>
        <w:rPr>
          <w:i/>
        </w:rPr>
        <w:t xml:space="preserve">The Book of Acts</w:t>
      </w:r>
      <w:r>
        <w:t xml:space="preserve"> [NICNT], 77.</w:t>
      </w:r>
    </w:p>
  </w:footnote>
  <w:footnote w:id="31336">
    <w:p>
      <w:pPr>
        <w:pStyle w:val="rFootn"/>
      </w:pPr>
      <w:r>
        <w:rPr>
          <w:rStyle w:val="rFootnRef"/>
        </w:rPr>
        <w:footnoteRef/>
      </w:r>
      <w:r>
        <w:t xml:space="preserve"> See Adam Clarke, </w:t>
      </w:r>
      <w:r>
        <w:rPr>
          <w:i/>
        </w:rPr>
        <w:t xml:space="preserve">The New Testament with a Commentary: Matthew-Acts</w:t>
      </w:r>
      <w:r>
        <w:t xml:space="preserve">, 5:704.</w:t>
      </w:r>
    </w:p>
  </w:footnote>
  <w:footnote w:id="24773">
    <w:p>
      <w:pPr>
        <w:pStyle w:val="rFootn"/>
      </w:pPr>
      <w:r>
        <w:rPr>
          <w:rStyle w:val="rFootnRef"/>
        </w:rPr>
        <w:footnoteRef/>
      </w:r>
      <w:r>
        <w:t xml:space="preserve"> John P. Lange, </w:t>
      </w:r>
      <w:r>
        <w:rPr>
          <w:i/>
        </w:rPr>
        <w:t xml:space="preserve">Commentary on the Holy Scriptures: Acts</w:t>
      </w:r>
      <w:r>
        <w:t xml:space="preserve">, 4:62.</w:t>
      </w:r>
    </w:p>
  </w:footnote>
  <w:footnote w:id="26499">
    <w:p>
      <w:pPr>
        <w:pStyle w:val="rFootn"/>
      </w:pPr>
      <w:r>
        <w:rPr>
          <w:rStyle w:val="rFootnRef"/>
        </w:rPr>
        <w:footnoteRef/>
      </w:r>
      <w:r>
        <w:t xml:space="preserve"> BDAG, s.v. “ὑπάρχω.”</w:t>
      </w:r>
    </w:p>
  </w:footnote>
  <w:footnote w:id="31774">
    <w:p>
      <w:pPr>
        <w:pStyle w:val="rFootn"/>
      </w:pPr>
      <w:r>
        <w:rPr>
          <w:rStyle w:val="rFootnRef"/>
        </w:rPr>
        <w:footnoteRef/>
      </w:r>
      <w:r>
        <w:t xml:space="preserve"> Lenski, </w:t>
      </w:r>
      <w:r>
        <w:rPr>
          <w:i/>
        </w:rPr>
        <w:t xml:space="preserve">Interpretation of the Acts of the Apostles</w:t>
      </w:r>
      <w:r>
        <w:t xml:space="preserve">, 133.</w:t>
      </w:r>
    </w:p>
  </w:footnote>
  <w:footnote w:id="25286">
    <w:p>
      <w:pPr>
        <w:pStyle w:val="rFootn"/>
      </w:pPr>
      <w:r>
        <w:rPr>
          <w:rStyle w:val="rFootnRef"/>
        </w:rPr>
        <w:footnoteRef/>
      </w:r>
      <w:r>
        <w:t xml:space="preserve"> Kistemaker, </w:t>
      </w:r>
      <w:r>
        <w:rPr>
          <w:i/>
        </w:rPr>
        <w:t xml:space="preserve">New Testament Commentary: Acts</w:t>
      </w:r>
      <w:r>
        <w:t xml:space="preserve">.</w:t>
      </w:r>
    </w:p>
  </w:footnote>
  <w:footnote w:id="21759">
    <w:p>
      <w:pPr>
        <w:pStyle w:val="rFootn"/>
      </w:pPr>
      <w:r>
        <w:rPr>
          <w:rStyle w:val="rFootnRef"/>
        </w:rPr>
        <w:footnoteRef/>
      </w:r>
      <w:r>
        <w:t xml:space="preserve"> Newman and Nida, </w:t>
      </w:r>
      <w:r>
        <w:rPr>
          <w:i/>
        </w:rPr>
        <w:t xml:space="preserve">A Translator’s Handbook on the Acts of the Apostles</w:t>
      </w:r>
      <w:r>
        <w:t xml:space="preserve">, 79.</w:t>
      </w:r>
    </w:p>
  </w:footnote>
  <w:footnote w:id="19681">
    <w:p>
      <w:pPr>
        <w:pStyle w:val="rFootn"/>
      </w:pPr>
      <w:r>
        <w:rPr>
          <w:rStyle w:val="rFootnRef"/>
        </w:rPr>
        <w:footnoteRef/>
      </w:r>
      <w:r>
        <w:t xml:space="preserve"> Cf. Wuest, </w:t>
      </w:r>
      <w:r>
        <w:rPr>
          <w:i/>
        </w:rPr>
        <w:t xml:space="preserve">New Testament</w:t>
      </w:r>
      <w:r>
        <w:t xml:space="preserve">, “out from among those who are dead,” 277.</w:t>
      </w:r>
    </w:p>
  </w:footnote>
  <w:footnote w:id="22658">
    <w:p>
      <w:pPr>
        <w:pStyle w:val="rFootn"/>
      </w:pPr>
      <w:r>
        <w:rPr>
          <w:rStyle w:val="rFootnRef"/>
        </w:rPr>
        <w:footnoteRef/>
      </w:r>
      <w:r>
        <w:t xml:space="preserve"> Cf. Wuest, </w:t>
      </w:r>
      <w:r>
        <w:rPr>
          <w:i/>
        </w:rPr>
        <w:t xml:space="preserve">New Testament</w:t>
      </w:r>
      <w:r>
        <w:t xml:space="preserve">, “from among the dead,” 279.</w:t>
      </w:r>
    </w:p>
  </w:footnote>
  <w:footnote w:id="31417">
    <w:p>
      <w:pPr>
        <w:pStyle w:val="rFootn"/>
      </w:pPr>
      <w:r>
        <w:rPr>
          <w:rStyle w:val="rFootnRef"/>
        </w:rPr>
        <w:footnoteRef/>
      </w:r>
      <w:r>
        <w:t xml:space="preserve"> Cf. Wuest, </w:t>
      </w:r>
      <w:r>
        <w:rPr>
          <w:i/>
        </w:rPr>
        <w:t xml:space="preserve">New Testament</w:t>
      </w:r>
      <w:r>
        <w:t xml:space="preserve">, “out from among those who are dead,” 279.</w:t>
      </w:r>
    </w:p>
  </w:footnote>
  <w:footnote w:id="16463">
    <w:p>
      <w:pPr>
        <w:pStyle w:val="rFootn"/>
      </w:pPr>
      <w:r>
        <w:rPr>
          <w:rStyle w:val="rFootnRef"/>
        </w:rPr>
        <w:footnoteRef/>
      </w:r>
      <w:r>
        <w:t xml:space="preserve"> Thayer, s.v. “ἀγράμματος.”</w:t>
      </w:r>
    </w:p>
  </w:footnote>
  <w:footnote w:id="18198">
    <w:p>
      <w:pPr>
        <w:pStyle w:val="rFootn"/>
      </w:pPr>
      <w:r>
        <w:rPr>
          <w:rStyle w:val="rFootnRef"/>
        </w:rPr>
        <w:footnoteRef/>
      </w:r>
      <w:r>
        <w:t xml:space="preserve"> Thayer, s.v. “ἰδιώτης.”</w:t>
      </w:r>
    </w:p>
  </w:footnote>
  <w:footnote w:id="11950">
    <w:p>
      <w:pPr>
        <w:pStyle w:val="rFootn"/>
      </w:pPr>
      <w:r>
        <w:rPr>
          <w:rStyle w:val="rFootnRef"/>
        </w:rPr>
        <w:footnoteRef/>
      </w:r>
      <w:r>
        <w:t xml:space="preserve"> W. R. Nicoll, </w:t>
      </w:r>
      <w:r>
        <w:rPr>
          <w:i/>
        </w:rPr>
        <w:t xml:space="preserve">Expositor’s Greek Testament</w:t>
      </w:r>
      <w:r>
        <w:t xml:space="preserve">, 2:138.</w:t>
      </w:r>
    </w:p>
  </w:footnote>
  <w:footnote w:id="23922">
    <w:p>
      <w:pPr>
        <w:pStyle w:val="rFootn"/>
      </w:pPr>
      <w:r>
        <w:rPr>
          <w:rStyle w:val="rFootnRef"/>
        </w:rPr>
        <w:footnoteRef/>
      </w:r>
      <w:r>
        <w:t xml:space="preserve"> A. T. Robertson, </w:t>
      </w:r>
      <w:r>
        <w:rPr>
          <w:i/>
        </w:rPr>
        <w:t xml:space="preserve">Word Pictures in the New Testament</w:t>
      </w:r>
      <w:r>
        <w:t xml:space="preserve">, 3:57.</w:t>
      </w:r>
    </w:p>
  </w:footnote>
  <w:footnote w:id="28161">
    <w:p>
      <w:pPr>
        <w:pStyle w:val="rFootn"/>
      </w:pPr>
      <w:r>
        <w:rPr>
          <w:rStyle w:val="rFootnRef"/>
        </w:rPr>
        <w:footnoteRef/>
      </w:r>
      <w:r>
        <w:t xml:space="preserve"> A. T. Robertson, </w:t>
      </w:r>
      <w:r>
        <w:rPr>
          <w:i/>
        </w:rPr>
        <w:t xml:space="preserve">Word Pictures in the New Testament: Acts</w:t>
      </w:r>
      <w:r>
        <w:t xml:space="preserve">, 3:59.</w:t>
      </w:r>
    </w:p>
  </w:footnote>
  <w:footnote w:id="25029">
    <w:p>
      <w:pPr>
        <w:pStyle w:val="rFootn"/>
      </w:pPr>
      <w:r>
        <w:rPr>
          <w:rStyle w:val="rFootnRef"/>
        </w:rPr>
        <w:footnoteRef/>
      </w:r>
      <w:r>
        <w:t xml:space="preserve"> R. C. H. Lenski, </w:t>
      </w:r>
      <w:r>
        <w:rPr>
          <w:i/>
        </w:rPr>
        <w:t xml:space="preserve">Acts of the Apostles</w:t>
      </w:r>
      <w:r>
        <w:t xml:space="preserve">, 199.</w:t>
      </w:r>
    </w:p>
  </w:footnote>
  <w:footnote w:id="25041">
    <w:p>
      <w:pPr>
        <w:pStyle w:val="rFootn"/>
      </w:pPr>
      <w:r>
        <w:rPr>
          <w:rStyle w:val="rFootnRef"/>
        </w:rPr>
        <w:footnoteRef/>
      </w:r>
      <w:r>
        <w:t xml:space="preserve"> Cf. Bullinger, </w:t>
      </w:r>
      <w:r>
        <w:rPr>
          <w:i/>
        </w:rPr>
        <w:t xml:space="preserve">Figures of Speech</w:t>
      </w:r>
      <w:r>
        <w:t xml:space="preserve">, 267, “polyptoton”.</w:t>
      </w:r>
    </w:p>
  </w:footnote>
  <w:footnote w:id="20249">
    <w:p>
      <w:pPr>
        <w:pStyle w:val="rFootn"/>
      </w:pPr>
      <w:r>
        <w:rPr>
          <w:rStyle w:val="rFootnRef"/>
        </w:rPr>
        <w:footnoteRef/>
      </w:r>
      <w:r>
        <w:t xml:space="preserve"> Keener, </w:t>
      </w:r>
      <w:r>
        <w:rPr>
          <w:i/>
        </w:rPr>
        <w:t xml:space="preserve">Acts: An Exegetical Commentary</w:t>
      </w:r>
      <w:r>
        <w:t xml:space="preserve">, vol. 2.</w:t>
      </w:r>
    </w:p>
  </w:footnote>
  <w:footnote w:id="12297">
    <w:p>
      <w:pPr>
        <w:pStyle w:val="rFootn"/>
      </w:pPr>
      <w:r>
        <w:rPr>
          <w:rStyle w:val="rFootnRef"/>
        </w:rPr>
        <w:footnoteRef/>
      </w:r>
      <w:r>
        <w:t xml:space="preserve"> Henry Beveridge, ed., </w:t>
      </w:r>
      <w:r>
        <w:rPr>
          <w:i/>
        </w:rPr>
        <w:t xml:space="preserve">Commentary upon the Acts of the Apostles</w:t>
      </w:r>
      <w:r>
        <w:t xml:space="preserve"> by John Calvin, 1:248.</w:t>
      </w:r>
    </w:p>
  </w:footnote>
  <w:footnote w:id="32115">
    <w:p>
      <w:pPr>
        <w:pStyle w:val="rFootn"/>
      </w:pPr>
      <w:r>
        <w:rPr>
          <w:rStyle w:val="rFootnRef"/>
        </w:rPr>
        <w:footnoteRef/>
      </w:r>
      <w:r>
        <w:t xml:space="preserve"> William Barclay, </w:t>
      </w:r>
      <w:r>
        <w:rPr>
          <w:i/>
        </w:rPr>
        <w:t xml:space="preserve">Jesus As They Saw Him</w:t>
      </w:r>
      <w:r>
        <w:t xml:space="preserve">, 10-11.</w:t>
      </w:r>
    </w:p>
  </w:footnote>
  <w:footnote w:id="32602">
    <w:p>
      <w:pPr>
        <w:pStyle w:val="rFootn"/>
      </w:pPr>
      <w:r>
        <w:rPr>
          <w:rStyle w:val="rFootnRef"/>
        </w:rPr>
        <w:footnoteRef/>
      </w:r>
      <w:r>
        <w:t xml:space="preserve"> Cf. BDAG, s.v.“ διαταγή.”</w:t>
      </w:r>
    </w:p>
  </w:footnote>
  <w:footnote w:id="22990">
    <w:p>
      <w:pPr>
        <w:pStyle w:val="rFootn"/>
      </w:pPr>
      <w:r>
        <w:rPr>
          <w:rStyle w:val="rFootnRef"/>
        </w:rPr>
        <w:footnoteRef/>
      </w:r>
      <w:r>
        <w:t xml:space="preserve"> Graeser, Lynn and Schoenheit, </w:t>
      </w:r>
      <w:r>
        <w:rPr>
          <w:i/>
        </w:rPr>
        <w:t xml:space="preserve">Don’t Blame God!</w:t>
      </w:r>
      <w:r>
        <w:t xml:space="preserve">, 59-60.</w:t>
      </w:r>
    </w:p>
  </w:footnote>
  <w:footnote w:id="20128">
    <w:p>
      <w:pPr>
        <w:pStyle w:val="rFootn"/>
      </w:pPr>
      <w:r>
        <w:rPr>
          <w:rStyle w:val="rFootnRef"/>
        </w:rPr>
        <w:footnoteRef/>
      </w:r>
      <w:r>
        <w:t xml:space="preserve"> John Calvin, </w:t>
      </w:r>
      <w:r>
        <w:rPr>
          <w:i/>
        </w:rPr>
        <w:t xml:space="preserve">Commentary upon the Acts of the Apostles</w:t>
      </w:r>
      <w:r>
        <w:t xml:space="preserve">, 1:321.</w:t>
      </w:r>
    </w:p>
  </w:footnote>
  <w:footnote w:id="22567">
    <w:p>
      <w:pPr>
        <w:pStyle w:val="rFootn"/>
      </w:pPr>
      <w:r>
        <w:rPr>
          <w:rStyle w:val="rFootnRef"/>
        </w:rPr>
        <w:footnoteRef/>
      </w:r>
      <w:r>
        <w:t xml:space="preserve"> BDAG.</w:t>
      </w:r>
    </w:p>
  </w:footnote>
  <w:footnote w:id="30748">
    <w:p>
      <w:pPr>
        <w:pStyle w:val="rFootn"/>
      </w:pPr>
      <w:r>
        <w:rPr>
          <w:rStyle w:val="rFootnRef"/>
        </w:rPr>
        <w:footnoteRef/>
      </w:r>
      <w:r>
        <w:t xml:space="preserve"> Metzger, </w:t>
      </w:r>
      <w:r>
        <w:rPr>
          <w:i/>
        </w:rPr>
        <w:t xml:space="preserve">Textual Commentary</w:t>
      </w:r>
      <w:r>
        <w:t xml:space="preserve">, 355-56; BDAG; NET translation note.</w:t>
      </w:r>
    </w:p>
  </w:footnote>
  <w:footnote w:id="31614">
    <w:p>
      <w:pPr>
        <w:pStyle w:val="rFootn"/>
      </w:pPr>
      <w:r>
        <w:rPr>
          <w:rStyle w:val="rFootnRef"/>
        </w:rPr>
        <w:footnoteRef/>
      </w:r>
      <w:r>
        <w:t xml:space="preserve"> Kistemaker, </w:t>
      </w:r>
      <w:r>
        <w:rPr>
          <w:i/>
        </w:rPr>
        <w:t xml:space="preserve">New Testament Commentary</w:t>
      </w:r>
      <w:r>
        <w:t xml:space="preserve">.</w:t>
      </w:r>
    </w:p>
  </w:footnote>
  <w:footnote w:id="32425">
    <w:p>
      <w:pPr>
        <w:pStyle w:val="rFootn"/>
      </w:pPr>
      <w:r>
        <w:rPr>
          <w:rStyle w:val="rFootnRef"/>
        </w:rPr>
        <w:footnoteRef/>
      </w:r>
      <w:r>
        <w:t xml:space="preserve"> R. C. H. Lenski, </w:t>
      </w:r>
      <w:r>
        <w:rPr>
          <w:i/>
        </w:rPr>
        <w:t xml:space="preserve">Interpretation of the Acts of the Apostles</w:t>
      </w:r>
      <w:r>
        <w:t xml:space="preserve">, 316.</w:t>
      </w:r>
    </w:p>
  </w:footnote>
  <w:footnote w:id="31812">
    <w:p>
      <w:pPr>
        <w:pStyle w:val="rFootn"/>
      </w:pPr>
      <w:r>
        <w:rPr>
          <w:rStyle w:val="rFootnRef"/>
        </w:rPr>
        <w:footnoteRef/>
      </w:r>
      <w:r>
        <w:t xml:space="preserve"> Lenski, Acts of the Apostles, 316.</w:t>
      </w:r>
    </w:p>
  </w:footnote>
  <w:footnote w:id="32586">
    <w:p>
      <w:pPr>
        <w:pStyle w:val="rFootn"/>
      </w:pPr>
      <w:r>
        <w:rPr>
          <w:rStyle w:val="rFootnRef"/>
        </w:rPr>
        <w:footnoteRef/>
      </w:r>
      <w:r>
        <w:t xml:space="preserve"> BDAG, s.v. “λαμβάνω”; “δέχομαι.”</w:t>
      </w:r>
    </w:p>
  </w:footnote>
  <w:footnote w:id="12994">
    <w:p>
      <w:pPr>
        <w:pStyle w:val="rFootn"/>
      </w:pPr>
      <w:r>
        <w:rPr>
          <w:rStyle w:val="rFootnRef"/>
        </w:rPr>
        <w:footnoteRef/>
      </w:r>
      <w:r>
        <w:t xml:space="preserve"> Vine, </w:t>
      </w:r>
      <w:r>
        <w:rPr>
          <w:i/>
        </w:rPr>
        <w:t xml:space="preserve">Vine’s Expository Dictionary</w:t>
      </w:r>
      <w:r>
        <w:t xml:space="preserve">, 928.</w:t>
      </w:r>
    </w:p>
  </w:footnote>
  <w:footnote w:id="25465">
    <w:p>
      <w:pPr>
        <w:pStyle w:val="rFootn"/>
      </w:pPr>
      <w:r>
        <w:rPr>
          <w:rStyle w:val="rFootnRef"/>
        </w:rPr>
        <w:footnoteRef/>
      </w:r>
      <w:r>
        <w:t xml:space="preserve"> Horst Balz and Gerhard Schneider, </w:t>
      </w:r>
      <w:r>
        <w:rPr>
          <w:i/>
        </w:rPr>
        <w:t xml:space="preserve">Exegetical Dictionary of the New Testament</w:t>
      </w:r>
      <w:r>
        <w:t xml:space="preserve">, s.v. “ἐπιπίπτω.”</w:t>
      </w:r>
    </w:p>
  </w:footnote>
  <w:footnote w:id="20559">
    <w:p>
      <w:pPr>
        <w:pStyle w:val="rFootn"/>
      </w:pPr>
      <w:r>
        <w:rPr>
          <w:rStyle w:val="rFootnRef"/>
        </w:rPr>
        <w:footnoteRef/>
      </w:r>
      <w:r>
        <w:t xml:space="preserve"> </w:t>
      </w:r>
      <w:r>
        <w:rPr>
          <w:i/>
        </w:rPr>
        <w:t xml:space="preserve">Thayer’s Greek-English Lexicon</w:t>
      </w:r>
      <w:r>
        <w:t xml:space="preserve">, s.v. “ἐπιπίπτω.”</w:t>
      </w:r>
    </w:p>
  </w:footnote>
  <w:footnote w:id="22279">
    <w:p>
      <w:pPr>
        <w:pStyle w:val="rFootn"/>
      </w:pPr>
      <w:r>
        <w:rPr>
          <w:rStyle w:val="rFootnRef"/>
        </w:rPr>
        <w:footnoteRef/>
      </w:r>
      <w:r>
        <w:t xml:space="preserve"> Friberg, </w:t>
      </w:r>
      <w:r>
        <w:rPr>
          <w:i/>
        </w:rPr>
        <w:t xml:space="preserve">Analytical Lexicon of the Greek New Testament</w:t>
      </w:r>
      <w:r>
        <w:t xml:space="preserve">, s.v. “ἐπιπίπτω.”</w:t>
      </w:r>
    </w:p>
  </w:footnote>
  <w:footnote w:id="19929">
    <w:p>
      <w:pPr>
        <w:pStyle w:val="rFootn"/>
      </w:pPr>
      <w:r>
        <w:rPr>
          <w:rStyle w:val="rFootnRef"/>
        </w:rPr>
        <w:footnoteRef/>
      </w:r>
      <w:r>
        <w:t xml:space="preserve"> Bruce, </w:t>
      </w:r>
      <w:r>
        <w:rPr>
          <w:i/>
        </w:rPr>
        <w:t xml:space="preserve">The Book of Acts</w:t>
      </w:r>
      <w:r>
        <w:t xml:space="preserve"> [NICNT], 170.</w:t>
      </w:r>
    </w:p>
  </w:footnote>
  <w:footnote w:id="28138">
    <w:p>
      <w:pPr>
        <w:pStyle w:val="rFootn"/>
      </w:pPr>
      <w:r>
        <w:rPr>
          <w:rStyle w:val="rFootnRef"/>
        </w:rPr>
        <w:footnoteRef/>
      </w:r>
      <w:r>
        <w:t xml:space="preserve"> R. C. H. Lenski, </w:t>
      </w:r>
      <w:r>
        <w:rPr>
          <w:i/>
        </w:rPr>
        <w:t xml:space="preserve">Acts of the Apostles</w:t>
      </w:r>
      <w:r>
        <w:t xml:space="preserve">, 331.</w:t>
      </w:r>
    </w:p>
  </w:footnote>
  <w:footnote w:id="11745">
    <w:p>
      <w:pPr>
        <w:pStyle w:val="rFootn"/>
      </w:pPr>
      <w:r>
        <w:rPr>
          <w:rStyle w:val="rFootnRef"/>
        </w:rPr>
        <w:footnoteRef/>
      </w:r>
      <w:r>
        <w:t xml:space="preserve"> Kistemaker, </w:t>
      </w:r>
      <w:r>
        <w:rPr>
          <w:i/>
        </w:rPr>
        <w:t xml:space="preserve">New Testament Commentary</w:t>
      </w:r>
      <w:r>
        <w:t xml:space="preserve">.</w:t>
      </w:r>
    </w:p>
  </w:footnote>
  <w:footnote w:id="13576">
    <w:p>
      <w:pPr>
        <w:pStyle w:val="rFootn"/>
      </w:pPr>
      <w:r>
        <w:rPr>
          <w:rStyle w:val="rFootnRef"/>
        </w:rPr>
        <w:footnoteRef/>
      </w:r>
      <w:r>
        <w:t xml:space="preserve"> Metzger, </w:t>
      </w:r>
      <w:r>
        <w:rPr>
          <w:i/>
        </w:rPr>
        <w:t xml:space="preserve">Textual Commentary</w:t>
      </w:r>
      <w:r>
        <w:t xml:space="preserve">, 359-60.</w:t>
      </w:r>
    </w:p>
  </w:footnote>
  <w:footnote w:id="17482">
    <w:p>
      <w:pPr>
        <w:pStyle w:val="rFootn"/>
      </w:pPr>
      <w:r>
        <w:rPr>
          <w:rStyle w:val="rFootnRef"/>
        </w:rPr>
        <w:footnoteRef/>
      </w:r>
      <w:r>
        <w:t xml:space="preserve"> See Bullinger, </w:t>
      </w:r>
      <w:r>
        <w:rPr>
          <w:i/>
        </w:rPr>
        <w:t xml:space="preserve">Figures of Speech</w:t>
      </w:r>
      <w:r>
        <w:t xml:space="preserve">, 155, “litotes” (“meiosis”).</w:t>
      </w:r>
    </w:p>
  </w:footnote>
  <w:footnote w:id="17607">
    <w:p>
      <w:pPr>
        <w:pStyle w:val="rFootn"/>
      </w:pPr>
      <w:r>
        <w:rPr>
          <w:rStyle w:val="rFootnRef"/>
        </w:rPr>
        <w:footnoteRef/>
      </w:r>
      <w:r>
        <w:t xml:space="preserve"> Vine, </w:t>
      </w:r>
      <w:r>
        <w:rPr>
          <w:i/>
        </w:rPr>
        <w:t xml:space="preserve">Vine’s Expository Dictionary</w:t>
      </w:r>
      <w:r>
        <w:t xml:space="preserve">, 300.</w:t>
      </w:r>
    </w:p>
  </w:footnote>
  <w:footnote w:id="30929">
    <w:p>
      <w:pPr>
        <w:pStyle w:val="rFootn"/>
      </w:pPr>
      <w:r>
        <w:rPr>
          <w:rStyle w:val="rFootnRef"/>
        </w:rPr>
        <w:footnoteRef/>
      </w:r>
      <w:r>
        <w:t xml:space="preserve"> Bullinger, </w:t>
      </w:r>
      <w:r>
        <w:rPr>
          <w:i/>
        </w:rPr>
        <w:t xml:space="preserve">Critical Lexicon and Concordance</w:t>
      </w:r>
      <w:r>
        <w:t xml:space="preserve">, 223.</w:t>
      </w:r>
    </w:p>
  </w:footnote>
  <w:footnote w:id="27366">
    <w:p>
      <w:pPr>
        <w:pStyle w:val="rFootn"/>
      </w:pPr>
      <w:r>
        <w:rPr>
          <w:rStyle w:val="rFootnRef"/>
        </w:rPr>
        <w:footnoteRef/>
      </w:r>
      <w:r>
        <w:t xml:space="preserve"> Cf. Robertson, </w:t>
      </w:r>
      <w:r>
        <w:rPr>
          <w:i/>
        </w:rPr>
        <w:t xml:space="preserve">Word Pictures in the New Testament</w:t>
      </w:r>
      <w:r>
        <w:t xml:space="preserve">, 3:40.</w:t>
      </w:r>
    </w:p>
  </w:footnote>
  <w:footnote w:id="24044">
    <w:p>
      <w:pPr>
        <w:pStyle w:val="rFootn"/>
      </w:pPr>
      <w:r>
        <w:rPr>
          <w:rStyle w:val="rFootnRef"/>
        </w:rPr>
        <w:footnoteRef/>
      </w:r>
      <w:r>
        <w:t xml:space="preserve"> Cf. David H. Stern, </w:t>
      </w:r>
      <w:r>
        <w:rPr>
          <w:i/>
        </w:rPr>
        <w:t xml:space="preserve">Complete Jewish Bible</w:t>
      </w:r>
      <w:r>
        <w:t xml:space="preserve">.</w:t>
      </w:r>
    </w:p>
  </w:footnote>
  <w:footnote w:id="23367">
    <w:p>
      <w:pPr>
        <w:pStyle w:val="rFootn"/>
      </w:pPr>
      <w:r>
        <w:rPr>
          <w:rStyle w:val="rFootnRef"/>
        </w:rPr>
        <w:footnoteRef/>
      </w:r>
      <w:r>
        <w:t xml:space="preserve"> Lenski, </w:t>
      </w:r>
      <w:r>
        <w:rPr>
          <w:i/>
        </w:rPr>
        <w:t xml:space="preserve">Acts of the Apostles</w:t>
      </w:r>
      <w:r>
        <w:t xml:space="preserve">, 446; cf. Robertson, </w:t>
      </w:r>
      <w:r>
        <w:rPr>
          <w:i/>
        </w:rPr>
        <w:t xml:space="preserve">Word Pictures</w:t>
      </w:r>
      <w:r>
        <w:t xml:space="preserve">, 3:154.</w:t>
      </w:r>
    </w:p>
  </w:footnote>
  <w:footnote w:id="19804">
    <w:p>
      <w:pPr>
        <w:pStyle w:val="rFootn"/>
      </w:pPr>
      <w:r>
        <w:rPr>
          <w:rStyle w:val="rFootnRef"/>
        </w:rPr>
        <w:footnoteRef/>
      </w:r>
      <w:r>
        <w:t xml:space="preserve"> Cf. Wuest, </w:t>
      </w:r>
      <w:r>
        <w:rPr>
          <w:i/>
        </w:rPr>
        <w:t xml:space="preserve">New Testament</w:t>
      </w:r>
      <w:r>
        <w:t xml:space="preserve">, “out from among the dead,” 306.</w:t>
      </w:r>
    </w:p>
  </w:footnote>
  <w:footnote w:id="29467">
    <w:p>
      <w:pPr>
        <w:pStyle w:val="rFootn"/>
      </w:pPr>
      <w:r>
        <w:rPr>
          <w:rStyle w:val="rFootnRef"/>
        </w:rPr>
        <w:footnoteRef/>
      </w:r>
      <w:r>
        <w:t xml:space="preserve"> Friberg, </w:t>
      </w:r>
      <w:r>
        <w:rPr>
          <w:i/>
        </w:rPr>
        <w:t xml:space="preserve">Analytical Lexicon</w:t>
      </w:r>
      <w:r>
        <w:t xml:space="preserve">, s.v. “γεννάω.”</w:t>
      </w:r>
    </w:p>
  </w:footnote>
  <w:footnote w:id="24937">
    <w:p>
      <w:pPr>
        <w:pStyle w:val="rFootn"/>
      </w:pPr>
      <w:r>
        <w:rPr>
          <w:rStyle w:val="rFootnRef"/>
        </w:rPr>
        <w:footnoteRef/>
      </w:r>
      <w:r>
        <w:t xml:space="preserve"> </w:t>
      </w:r>
      <w:r>
        <w:rPr>
          <w:i/>
        </w:rPr>
        <w:t xml:space="preserve">Meyer’s Commentary</w:t>
      </w:r>
      <w:r>
        <w:t xml:space="preserve">, 258 (emphasis the author’s).</w:t>
      </w:r>
    </w:p>
  </w:footnote>
  <w:footnote w:id="23031">
    <w:p>
      <w:pPr>
        <w:pStyle w:val="rFootn"/>
      </w:pPr>
      <w:r>
        <w:rPr>
          <w:rStyle w:val="rFootnRef"/>
        </w:rPr>
        <w:footnoteRef/>
      </w:r>
      <w:r>
        <w:t xml:space="preserve"> </w:t>
      </w:r>
      <w:r>
        <w:rPr>
          <w:i/>
        </w:rPr>
        <w:t xml:space="preserve">Meyer’s Commentary</w:t>
      </w:r>
      <w:r>
        <w:t xml:space="preserve">, 258-59.</w:t>
      </w:r>
    </w:p>
  </w:footnote>
  <w:footnote w:id="30452">
    <w:p>
      <w:pPr>
        <w:pStyle w:val="rFootn"/>
      </w:pPr>
      <w:r>
        <w:rPr>
          <w:rStyle w:val="rFootnRef"/>
        </w:rPr>
        <w:footnoteRef/>
      </w:r>
      <w:r>
        <w:t xml:space="preserve"> </w:t>
      </w:r>
      <w:r>
        <w:rPr>
          <w:i/>
        </w:rPr>
        <w:t xml:space="preserve">Bengel’s New Testament Commentary</w:t>
      </w:r>
      <w:r>
        <w:t xml:space="preserve">.</w:t>
      </w:r>
    </w:p>
  </w:footnote>
  <w:footnote w:id="24039">
    <w:p>
      <w:pPr>
        <w:pStyle w:val="rFootn"/>
      </w:pPr>
      <w:r>
        <w:rPr>
          <w:rStyle w:val="rFootnRef"/>
        </w:rPr>
        <w:footnoteRef/>
      </w:r>
      <w:r>
        <w:t xml:space="preserve"> Cf. Wuest, </w:t>
      </w:r>
      <w:r>
        <w:rPr>
          <w:i/>
        </w:rPr>
        <w:t xml:space="preserve">New Testament</w:t>
      </w:r>
      <w:r>
        <w:t xml:space="preserve">, “up from among those who are dead,” 306.</w:t>
      </w:r>
    </w:p>
  </w:footnote>
  <w:footnote w:id="21089">
    <w:p>
      <w:pPr>
        <w:pStyle w:val="rFootn"/>
      </w:pPr>
      <w:r>
        <w:rPr>
          <w:rStyle w:val="rFootnRef"/>
        </w:rPr>
        <w:footnoteRef/>
      </w:r>
      <w:r>
        <w:t xml:space="preserve"> Cf. BDAG, s.v. “ὅσιος.”</w:t>
      </w:r>
    </w:p>
  </w:footnote>
  <w:footnote w:id="12414">
    <w:p>
      <w:pPr>
        <w:pStyle w:val="rFootn"/>
      </w:pPr>
      <w:r>
        <w:rPr>
          <w:rStyle w:val="rFootnRef"/>
        </w:rPr>
        <w:footnoteRef/>
      </w:r>
      <w:r>
        <w:t xml:space="preserve"> Robertson, </w:t>
      </w:r>
      <w:r>
        <w:rPr>
          <w:i/>
        </w:rPr>
        <w:t xml:space="preserve">Word Pictures in the New Testament</w:t>
      </w:r>
      <w:r>
        <w:t xml:space="preserve">, 3:196.</w:t>
      </w:r>
    </w:p>
  </w:footnote>
  <w:footnote w:id="30129">
    <w:p>
      <w:pPr>
        <w:pStyle w:val="rFootn"/>
      </w:pPr>
      <w:r>
        <w:rPr>
          <w:rStyle w:val="rFootnRef"/>
        </w:rPr>
        <w:footnoteRef/>
      </w:r>
      <w:r>
        <w:t xml:space="preserve"> BDAG.</w:t>
      </w:r>
    </w:p>
  </w:footnote>
  <w:footnote w:id="23635">
    <w:p>
      <w:pPr>
        <w:pStyle w:val="rFootn"/>
      </w:pPr>
      <w:r>
        <w:rPr>
          <w:rStyle w:val="rFootnRef"/>
        </w:rPr>
        <w:footnoteRef/>
      </w:r>
      <w:r>
        <w:t xml:space="preserve"> Robertson, </w:t>
      </w:r>
      <w:r>
        <w:rPr>
          <w:i/>
        </w:rPr>
        <w:t xml:space="preserve">Word Pictures in the New Testament</w:t>
      </w:r>
      <w:r>
        <w:t xml:space="preserve">, “The Acts of the Apostles,” 3:200. (Some punctuation and translation of the Latin were added for clarity).</w:t>
      </w:r>
    </w:p>
  </w:footnote>
  <w:footnote w:id="11095">
    <w:p>
      <w:pPr>
        <w:pStyle w:val="rFootn"/>
      </w:pPr>
      <w:r>
        <w:rPr>
          <w:rStyle w:val="rFootnRef"/>
        </w:rPr>
        <w:footnoteRef/>
      </w:r>
      <w:r>
        <w:t xml:space="preserve"> Fanning, Buist M., </w:t>
      </w:r>
      <w:r>
        <w:rPr>
          <w:i/>
        </w:rPr>
        <w:t xml:space="preserve">Verbal Aspect in New Testament Greek</w:t>
      </w:r>
      <w:r>
        <w:t xml:space="preserve">, 320.</w:t>
      </w:r>
    </w:p>
  </w:footnote>
  <w:footnote w:id="30812">
    <w:p>
      <w:pPr>
        <w:pStyle w:val="rFootn"/>
      </w:pPr>
      <w:r>
        <w:rPr>
          <w:rStyle w:val="rFootnRef"/>
        </w:rPr>
        <w:footnoteRef/>
      </w:r>
      <w:r>
        <w:t xml:space="preserve"> Levinsohn, “Functions of Copula-Participle Combinations (‘Periphrastics’),” article in </w:t>
      </w:r>
      <w:r>
        <w:rPr>
          <w:i/>
        </w:rPr>
        <w:t xml:space="preserve">The Greek Verb Revisited: A Fresh Approach for Biblical Exegesis</w:t>
      </w:r>
      <w:r>
        <w:t xml:space="preserve">, 317.</w:t>
      </w:r>
    </w:p>
  </w:footnote>
  <w:footnote w:id="12378">
    <w:p>
      <w:pPr>
        <w:pStyle w:val="rFootn"/>
      </w:pPr>
      <w:r>
        <w:rPr>
          <w:rStyle w:val="rFootnRef"/>
        </w:rPr>
        <w:footnoteRef/>
      </w:r>
      <w:r>
        <w:t xml:space="preserve"> Friberg, s.v. “δεῖ.”</w:t>
      </w:r>
    </w:p>
  </w:footnote>
  <w:footnote w:id="12118">
    <w:p>
      <w:pPr>
        <w:pStyle w:val="rFootn"/>
      </w:pPr>
      <w:r>
        <w:rPr>
          <w:rStyle w:val="rFootnRef"/>
        </w:rPr>
        <w:footnoteRef/>
      </w:r>
      <w:r>
        <w:t xml:space="preserve"> </w:t>
      </w:r>
      <w:r>
        <w:rPr>
          <w:i/>
        </w:rPr>
        <w:t xml:space="preserve">Merriam-Webster’s Dictionary of Synonyms</w:t>
      </w:r>
      <w:r>
        <w:t xml:space="preserve">.</w:t>
      </w:r>
    </w:p>
  </w:footnote>
  <w:footnote w:id="12016">
    <w:p>
      <w:pPr>
        <w:pStyle w:val="rFootn"/>
      </w:pPr>
      <w:r>
        <w:rPr>
          <w:rStyle w:val="rFootnRef"/>
        </w:rPr>
        <w:footnoteRef/>
      </w:r>
      <w:r>
        <w:t xml:space="preserve"> E. W. Bullinger, </w:t>
      </w:r>
      <w:r>
        <w:rPr>
          <w:i/>
        </w:rPr>
        <w:t xml:space="preserve">Figures of Speech</w:t>
      </w:r>
      <w:r>
        <w:t xml:space="preserve">, 159, “tapeinosis.”</w:t>
      </w:r>
    </w:p>
  </w:footnote>
  <w:footnote w:id="27404">
    <w:p>
      <w:pPr>
        <w:pStyle w:val="rFootn"/>
      </w:pPr>
      <w:r>
        <w:rPr>
          <w:rStyle w:val="rFootnRef"/>
        </w:rPr>
        <w:footnoteRef/>
      </w:r>
      <w:r>
        <w:t xml:space="preserve"> Bruce, </w:t>
      </w:r>
      <w:r>
        <w:rPr>
          <w:i/>
        </w:rPr>
        <w:t xml:space="preserve">The Epistle to the Galatians: A Commentary on the Greek Text</w:t>
      </w:r>
      <w:r>
        <w:t xml:space="preserve"> [NIGTC], 55.</w:t>
      </w:r>
    </w:p>
  </w:footnote>
  <w:footnote w:id="17680">
    <w:p>
      <w:pPr>
        <w:pStyle w:val="rFootn"/>
      </w:pPr>
      <w:r>
        <w:rPr>
          <w:rStyle w:val="rFootnRef"/>
        </w:rPr>
        <w:footnoteRef/>
      </w:r>
      <w:r>
        <w:t xml:space="preserve"> Bullinger, </w:t>
      </w:r>
      <w:r>
        <w:rPr>
          <w:i/>
        </w:rPr>
        <w:t xml:space="preserve">Figures of Speech</w:t>
      </w:r>
      <w:r>
        <w:t xml:space="preserve">, 159, “tapeinosis.”</w:t>
      </w:r>
    </w:p>
  </w:footnote>
  <w:footnote w:id="26802">
    <w:p>
      <w:pPr>
        <w:pStyle w:val="rFootn"/>
      </w:pPr>
      <w:r>
        <w:rPr>
          <w:rStyle w:val="rFootnRef"/>
        </w:rPr>
        <w:footnoteRef/>
      </w:r>
      <w:r>
        <w:t xml:space="preserve"> Cf. Bruce Metzger, </w:t>
      </w:r>
      <w:r>
        <w:rPr>
          <w:i/>
        </w:rPr>
        <w:t xml:space="preserve">Textual Commentary</w:t>
      </w:r>
      <w:r>
        <w:t xml:space="preserve">, 429; and cf. the apparatus of NA-27 or UBS 4.</w:t>
      </w:r>
    </w:p>
  </w:footnote>
  <w:footnote w:id="19236">
    <w:p>
      <w:pPr>
        <w:pStyle w:val="rFootn"/>
      </w:pPr>
      <w:r>
        <w:rPr>
          <w:rStyle w:val="rFootnRef"/>
        </w:rPr>
        <w:footnoteRef/>
      </w:r>
      <w:r>
        <w:t xml:space="preserve"> Metzger, </w:t>
      </w:r>
      <w:r>
        <w:rPr>
          <w:i/>
        </w:rPr>
        <w:t xml:space="preserve">Textual Commentary</w:t>
      </w:r>
      <w:r>
        <w:t xml:space="preserve">, 429.</w:t>
      </w:r>
    </w:p>
  </w:footnote>
  <w:footnote w:id="13094">
    <w:p>
      <w:pPr>
        <w:pStyle w:val="rFootn"/>
      </w:pPr>
      <w:r>
        <w:rPr>
          <w:rStyle w:val="rFootnRef"/>
        </w:rPr>
        <w:footnoteRef/>
      </w:r>
      <w:r>
        <w:t xml:space="preserve"> Metzger, </w:t>
      </w:r>
      <w:r>
        <w:rPr>
          <w:i/>
        </w:rPr>
        <w:t xml:space="preserve">Textual Commentary</w:t>
      </w:r>
      <w:r>
        <w:t xml:space="preserve">, 429-434.</w:t>
      </w:r>
    </w:p>
  </w:footnote>
  <w:footnote w:id="32116">
    <w:p>
      <w:pPr>
        <w:pStyle w:val="rFootn"/>
      </w:pPr>
      <w:r>
        <w:rPr>
          <w:rStyle w:val="rFootnRef"/>
        </w:rPr>
        <w:footnoteRef/>
      </w:r>
      <w:r>
        <w:t xml:space="preserve"> Robertson, </w:t>
      </w:r>
      <w:r>
        <w:rPr>
          <w:i/>
        </w:rPr>
        <w:t xml:space="preserve">Word Pictures in the New Testament</w:t>
      </w:r>
      <w:r>
        <w:t xml:space="preserve">, 3:233.</w:t>
      </w:r>
    </w:p>
  </w:footnote>
  <w:footnote w:id="31803">
    <w:p>
      <w:pPr>
        <w:pStyle w:val="rFootn"/>
      </w:pPr>
      <w:r>
        <w:rPr>
          <w:rStyle w:val="rFootnRef"/>
        </w:rPr>
        <w:footnoteRef/>
      </w:r>
      <w:r>
        <w:t xml:space="preserve"> R. C. H. Lenski, </w:t>
      </w:r>
      <w:r>
        <w:rPr>
          <w:i/>
        </w:rPr>
        <w:t xml:space="preserve">Acts of the Apostles</w:t>
      </w:r>
      <w:r>
        <w:t xml:space="preserve">, 619.</w:t>
      </w:r>
    </w:p>
  </w:footnote>
  <w:footnote w:id="19203">
    <w:p>
      <w:pPr>
        <w:pStyle w:val="rFootn"/>
      </w:pPr>
      <w:r>
        <w:rPr>
          <w:rStyle w:val="rFootnRef"/>
        </w:rPr>
        <w:footnoteRef/>
      </w:r>
      <w:r>
        <w:t xml:space="preserve"> Cf. Lenski, </w:t>
      </w:r>
      <w:r>
        <w:rPr>
          <w:i/>
        </w:rPr>
        <w:t xml:space="preserve">Acts of the Apostles</w:t>
      </w:r>
      <w:r>
        <w:t xml:space="preserve">, 585.</w:t>
      </w:r>
    </w:p>
  </w:footnote>
  <w:footnote w:id="26969">
    <w:p>
      <w:pPr>
        <w:pStyle w:val="rFootn"/>
      </w:pPr>
      <w:r>
        <w:rPr>
          <w:rStyle w:val="rFootnRef"/>
        </w:rPr>
        <w:footnoteRef/>
      </w:r>
      <w:r>
        <w:t xml:space="preserve"> </w:t>
      </w:r>
      <w:r>
        <w:rPr>
          <w:i/>
        </w:rPr>
        <w:t xml:space="preserve">Meyer’s Commentary</w:t>
      </w:r>
      <w:r>
        <w:t xml:space="preserve">, 299.</w:t>
      </w:r>
    </w:p>
  </w:footnote>
  <w:footnote w:id="27555">
    <w:p>
      <w:pPr>
        <w:pStyle w:val="rFootn"/>
      </w:pPr>
      <w:r>
        <w:rPr>
          <w:rStyle w:val="rFootnRef"/>
        </w:rPr>
        <w:footnoteRef/>
      </w:r>
      <w:r>
        <w:t xml:space="preserve"> BDAG, s.v. “παροξυσμός.”</w:t>
      </w:r>
    </w:p>
  </w:footnote>
  <w:footnote w:id="14033">
    <w:p>
      <w:pPr>
        <w:pStyle w:val="rFootn"/>
      </w:pPr>
      <w:r>
        <w:rPr>
          <w:rStyle w:val="rFootnRef"/>
        </w:rPr>
        <w:footnoteRef/>
      </w:r>
      <w:r>
        <w:t xml:space="preserve"> BDAG, s.v. “δόγμα.”</w:t>
      </w:r>
    </w:p>
  </w:footnote>
  <w:footnote w:id="18640">
    <w:p>
      <w:pPr>
        <w:pStyle w:val="rFootn"/>
      </w:pPr>
      <w:r>
        <w:rPr>
          <w:rStyle w:val="rFootnRef"/>
        </w:rPr>
        <w:footnoteRef/>
      </w:r>
      <w:r>
        <w:t xml:space="preserve"> Cf. Metzger, </w:t>
      </w:r>
      <w:r>
        <w:rPr>
          <w:i/>
        </w:rPr>
        <w:t xml:space="preserve">Textual Commentary</w:t>
      </w:r>
      <w:r>
        <w:t xml:space="preserve">, 444.</w:t>
      </w:r>
    </w:p>
  </w:footnote>
  <w:footnote w:id="26066">
    <w:p>
      <w:pPr>
        <w:pStyle w:val="rFootn"/>
      </w:pPr>
      <w:r>
        <w:rPr>
          <w:rStyle w:val="rFootnRef"/>
        </w:rPr>
        <w:footnoteRef/>
      </w:r>
      <w:r>
        <w:t xml:space="preserve"> F. F. Bruce, </w:t>
      </w:r>
      <w:r>
        <w:rPr>
          <w:i/>
        </w:rPr>
        <w:t xml:space="preserve">The Book of Acts</w:t>
      </w:r>
      <w:r>
        <w:t xml:space="preserve"> [NICNT], 310</w:t>
      </w:r>
    </w:p>
  </w:footnote>
  <w:footnote w:id="24266">
    <w:p>
      <w:pPr>
        <w:pStyle w:val="rFootn"/>
      </w:pPr>
      <w:r>
        <w:rPr>
          <w:rStyle w:val="rFootnRef"/>
        </w:rPr>
        <w:footnoteRef/>
      </w:r>
      <w:r>
        <w:t xml:space="preserve"> R. C. H. Lenski, </w:t>
      </w:r>
      <w:r>
        <w:rPr>
          <w:i/>
        </w:rPr>
        <w:t xml:space="preserve">Acts of the Apostles</w:t>
      </w:r>
      <w:r>
        <w:t xml:space="preserve">, 654-59.</w:t>
      </w:r>
    </w:p>
  </w:footnote>
  <w:footnote w:id="17763">
    <w:p>
      <w:pPr>
        <w:pStyle w:val="rFootn"/>
      </w:pPr>
      <w:r>
        <w:rPr>
          <w:rStyle w:val="rFootnRef"/>
        </w:rPr>
        <w:footnoteRef/>
      </w:r>
      <w:r>
        <w:t xml:space="preserve"> BDAG, s.v. “προσέχω.”</w:t>
      </w:r>
    </w:p>
  </w:footnote>
  <w:footnote w:id="29530">
    <w:p>
      <w:pPr>
        <w:pStyle w:val="rFootn"/>
      </w:pPr>
      <w:r>
        <w:rPr>
          <w:rStyle w:val="rFootnRef"/>
        </w:rPr>
        <w:footnoteRef/>
      </w:r>
      <w:r>
        <w:t xml:space="preserve"> </w:t>
      </w:r>
      <w:r>
        <w:rPr>
          <w:i/>
        </w:rPr>
        <w:t xml:space="preserve">Encyclopedia Americana</w:t>
      </w:r>
      <w:r>
        <w:t xml:space="preserve">, 1947, 626-27.</w:t>
      </w:r>
    </w:p>
  </w:footnote>
  <w:footnote w:id="32151">
    <w:p>
      <w:pPr>
        <w:pStyle w:val="rFootn"/>
      </w:pPr>
      <w:r>
        <w:rPr>
          <w:rStyle w:val="rFootnRef"/>
        </w:rPr>
        <w:footnoteRef/>
      </w:r>
      <w:r>
        <w:t xml:space="preserve"> F. F. Bruce, </w:t>
      </w:r>
      <w:r>
        <w:rPr>
          <w:i/>
        </w:rPr>
        <w:t xml:space="preserve">The Book of Acts (Revised)</w:t>
      </w:r>
      <w:r>
        <w:t xml:space="preserve">, NICNT, 315.</w:t>
      </w:r>
    </w:p>
  </w:footnote>
  <w:footnote w:id="31392">
    <w:p>
      <w:pPr>
        <w:pStyle w:val="rFootn"/>
      </w:pPr>
      <w:r>
        <w:rPr>
          <w:rStyle w:val="rFootnRef"/>
        </w:rPr>
        <w:footnoteRef/>
      </w:r>
      <w:r>
        <w:t xml:space="preserve"> BDAG, s.v. ὑμνέω</w:t>
      </w:r>
    </w:p>
  </w:footnote>
  <w:footnote w:id="11165">
    <w:p>
      <w:pPr>
        <w:pStyle w:val="rFootn"/>
      </w:pPr>
      <w:r>
        <w:rPr>
          <w:rStyle w:val="rFootnRef"/>
        </w:rPr>
        <w:footnoteRef/>
      </w:r>
      <w:r>
        <w:t xml:space="preserve"> Cf. Wuest, </w:t>
      </w:r>
      <w:r>
        <w:rPr>
          <w:i/>
        </w:rPr>
        <w:t xml:space="preserve">New Testament</w:t>
      </w:r>
      <w:r>
        <w:t xml:space="preserve">, “out from among the dead,” 316.</w:t>
      </w:r>
    </w:p>
  </w:footnote>
  <w:footnote w:id="22320">
    <w:p>
      <w:pPr>
        <w:pStyle w:val="rFootn"/>
      </w:pPr>
      <w:r>
        <w:rPr>
          <w:rStyle w:val="rFootnRef"/>
        </w:rPr>
        <w:footnoteRef/>
      </w:r>
      <w:r>
        <w:t xml:space="preserve"> See Bullinger, </w:t>
      </w:r>
      <w:r>
        <w:rPr>
          <w:i/>
        </w:rPr>
        <w:t xml:space="preserve">Figures of Speech</w:t>
      </w:r>
      <w:r>
        <w:t xml:space="preserve">, 159, “tapeinosis.”</w:t>
      </w:r>
    </w:p>
  </w:footnote>
  <w:footnote w:id="19746">
    <w:p>
      <w:pPr>
        <w:pStyle w:val="rFootn"/>
      </w:pPr>
      <w:r>
        <w:rPr>
          <w:rStyle w:val="rFootnRef"/>
        </w:rPr>
        <w:footnoteRef/>
      </w:r>
      <w:r>
        <w:t xml:space="preserve"> Ehrman, </w:t>
      </w:r>
      <w:r>
        <w:rPr>
          <w:i/>
        </w:rPr>
        <w:t xml:space="preserve">Misquoting Jesus</w:t>
      </w:r>
      <w:r>
        <w:t xml:space="preserve">, 186.</w:t>
      </w:r>
    </w:p>
  </w:footnote>
  <w:footnote w:id="17487">
    <w:p>
      <w:pPr>
        <w:pStyle w:val="rFootn"/>
      </w:pPr>
      <w:r>
        <w:rPr>
          <w:rStyle w:val="rFootnRef"/>
        </w:rPr>
        <w:footnoteRef/>
      </w:r>
      <w:r>
        <w:t xml:space="preserve"> BDAG, s.v. “σύρω.”</w:t>
      </w:r>
    </w:p>
  </w:footnote>
  <w:footnote w:id="29961">
    <w:p>
      <w:pPr>
        <w:pStyle w:val="rFootn"/>
      </w:pPr>
      <w:r>
        <w:rPr>
          <w:rStyle w:val="rFootnRef"/>
        </w:rPr>
        <w:footnoteRef/>
      </w:r>
      <w:r>
        <w:t xml:space="preserve"> See Metzger; </w:t>
      </w:r>
      <w:r>
        <w:rPr>
          <w:i/>
        </w:rPr>
        <w:t xml:space="preserve">Textual Commentary on the Greek New Testament</w:t>
      </w:r>
      <w:r>
        <w:t xml:space="preserve">, 454.</w:t>
      </w:r>
    </w:p>
  </w:footnote>
  <w:footnote w:id="26873">
    <w:p>
      <w:pPr>
        <w:pStyle w:val="rFootn"/>
      </w:pPr>
      <w:r>
        <w:rPr>
          <w:rStyle w:val="rFootnRef"/>
        </w:rPr>
        <w:footnoteRef/>
      </w:r>
      <w:r>
        <w:t xml:space="preserve"> R. C. H. Lenski, The Acts of the Apostles, 722; cf. </w:t>
      </w:r>
      <w:r>
        <w:rPr>
          <w:i/>
        </w:rPr>
        <w:t xml:space="preserve">Barnes’ Notes</w:t>
      </w:r>
      <w:r>
        <w:t xml:space="preserve">.</w:t>
      </w:r>
    </w:p>
  </w:footnote>
  <w:footnote w:id="17775">
    <w:p>
      <w:pPr>
        <w:pStyle w:val="rFootn"/>
      </w:pPr>
      <w:r>
        <w:rPr>
          <w:rStyle w:val="rFootnRef"/>
        </w:rPr>
        <w:footnoteRef/>
      </w:r>
      <w:r>
        <w:t xml:space="preserve"> John Barton, </w:t>
      </w:r>
      <w:r>
        <w:rPr>
          <w:i/>
        </w:rPr>
        <w:t xml:space="preserve">Oxford Bible Commentary</w:t>
      </w:r>
      <w:r>
        <w:t xml:space="preserve">, 1050.</w:t>
      </w:r>
    </w:p>
  </w:footnote>
  <w:footnote w:id="14680">
    <w:p>
      <w:pPr>
        <w:pStyle w:val="rFootn"/>
      </w:pPr>
      <w:r>
        <w:rPr>
          <w:rStyle w:val="rFootnRef"/>
        </w:rPr>
        <w:footnoteRef/>
      </w:r>
      <w:r>
        <w:t xml:space="preserve"> Craig S. Keener, </w:t>
      </w:r>
      <w:r>
        <w:rPr>
          <w:i/>
        </w:rPr>
        <w:t xml:space="preserve">IVP Bible Background Commentary: New Testament</w:t>
      </w:r>
      <w:r>
        <w:t xml:space="preserve">, 376; Lenski; </w:t>
      </w:r>
      <w:r>
        <w:rPr>
          <w:i/>
        </w:rPr>
        <w:t xml:space="preserve">Barnes’ Notes</w:t>
      </w:r>
      <w:r>
        <w:t xml:space="preserve">.</w:t>
      </w:r>
    </w:p>
  </w:footnote>
  <w:footnote w:id="31279">
    <w:p>
      <w:pPr>
        <w:pStyle w:val="rFootn"/>
      </w:pPr>
      <w:r>
        <w:rPr>
          <w:rStyle w:val="rFootnRef"/>
        </w:rPr>
        <w:footnoteRef/>
      </w:r>
      <w:r>
        <w:t xml:space="preserve"> BDAG, s.v. “ναός.”</w:t>
      </w:r>
    </w:p>
  </w:footnote>
  <w:footnote w:id="11647">
    <w:p>
      <w:pPr>
        <w:pStyle w:val="rFootn"/>
      </w:pPr>
      <w:r>
        <w:rPr>
          <w:rStyle w:val="rFootnRef"/>
        </w:rPr>
        <w:footnoteRef/>
      </w:r>
      <w:r>
        <w:t xml:space="preserve"> Robertson, </w:t>
      </w:r>
      <w:r>
        <w:rPr>
          <w:i/>
        </w:rPr>
        <w:t xml:space="preserve">Word Pictures</w:t>
      </w:r>
      <w:r>
        <w:t xml:space="preserve">, 3:289.</w:t>
      </w:r>
    </w:p>
  </w:footnote>
  <w:footnote w:id="31477">
    <w:p>
      <w:pPr>
        <w:pStyle w:val="rFootn"/>
      </w:pPr>
      <w:r>
        <w:rPr>
          <w:rStyle w:val="rFootnRef"/>
        </w:rPr>
        <w:footnoteRef/>
      </w:r>
      <w:r>
        <w:t xml:space="preserve"> Goodspeed, </w:t>
      </w:r>
      <w:r>
        <w:rPr>
          <w:i/>
        </w:rPr>
        <w:t xml:space="preserve">God’s New Covenant</w:t>
      </w:r>
      <w:r>
        <w:t xml:space="preserve">.</w:t>
      </w:r>
    </w:p>
  </w:footnote>
  <w:footnote w:id="21831">
    <w:p>
      <w:pPr>
        <w:pStyle w:val="rFootn"/>
      </w:pPr>
      <w:r>
        <w:rPr>
          <w:rStyle w:val="rFootnRef"/>
        </w:rPr>
        <w:footnoteRef/>
      </w:r>
      <w:r>
        <w:t xml:space="preserve"> R. C. H. Lenski,</w:t>
      </w:r>
      <w:r>
        <w:rPr>
          <w:i/>
        </w:rPr>
        <w:t xml:space="preserve"> Interpretation of the Acts of the Apostles</w:t>
      </w:r>
      <w:r>
        <w:t xml:space="preserve">, 725.</w:t>
      </w:r>
    </w:p>
  </w:footnote>
  <w:footnote w:id="24223">
    <w:p>
      <w:pPr>
        <w:pStyle w:val="rFootn"/>
      </w:pPr>
      <w:r>
        <w:rPr>
          <w:rStyle w:val="rFootnRef"/>
        </w:rPr>
        <w:footnoteRef/>
      </w:r>
      <w:r>
        <w:t xml:space="preserve"> A. Nyland, </w:t>
      </w:r>
      <w:r>
        <w:rPr>
          <w:i/>
        </w:rPr>
        <w:t xml:space="preserve">The Source New Testament</w:t>
      </w:r>
      <w:r>
        <w:t xml:space="preserve">, 247.</w:t>
      </w:r>
    </w:p>
  </w:footnote>
  <w:footnote w:id="16921">
    <w:p>
      <w:pPr>
        <w:pStyle w:val="rFootn"/>
      </w:pPr>
      <w:r>
        <w:rPr>
          <w:rStyle w:val="rFootnRef"/>
        </w:rPr>
        <w:footnoteRef/>
      </w:r>
      <w:r>
        <w:t xml:space="preserve"> Cf. Daniel Wallace, </w:t>
      </w:r>
      <w:r>
        <w:rPr>
          <w:i/>
        </w:rPr>
        <w:t xml:space="preserve">Greek Grammar Beyond the Basics</w:t>
      </w:r>
      <w:r>
        <w:t xml:space="preserve">, 161.</w:t>
      </w:r>
    </w:p>
  </w:footnote>
  <w:footnote w:id="29943">
    <w:p>
      <w:pPr>
        <w:pStyle w:val="rFootn"/>
      </w:pPr>
      <w:r>
        <w:rPr>
          <w:rStyle w:val="rFootnRef"/>
        </w:rPr>
        <w:footnoteRef/>
      </w:r>
      <w:r>
        <w:t xml:space="preserve"> Cf. Wuest, </w:t>
      </w:r>
      <w:r>
        <w:rPr>
          <w:i/>
        </w:rPr>
        <w:t xml:space="preserve">New Testament</w:t>
      </w:r>
      <w:r>
        <w:t xml:space="preserve">, “out from among those who are dead,” 318.</w:t>
      </w:r>
    </w:p>
  </w:footnote>
  <w:footnote w:id="18641">
    <w:p>
      <w:pPr>
        <w:pStyle w:val="rFootn"/>
      </w:pPr>
      <w:r>
        <w:rPr>
          <w:rStyle w:val="rFootnRef"/>
        </w:rPr>
        <w:footnoteRef/>
      </w:r>
      <w:r>
        <w:t xml:space="preserve"> Cf. BDAG, s.v. “συνέχω.”</w:t>
      </w:r>
    </w:p>
  </w:footnote>
  <w:footnote w:id="13051">
    <w:p>
      <w:pPr>
        <w:pStyle w:val="rFootn"/>
      </w:pPr>
      <w:r>
        <w:rPr>
          <w:rStyle w:val="rFootnRef"/>
        </w:rPr>
        <w:footnoteRef/>
      </w:r>
      <w:r>
        <w:t xml:space="preserve"> Metzger, </w:t>
      </w:r>
      <w:r>
        <w:rPr>
          <w:i/>
        </w:rPr>
        <w:t xml:space="preserve">Textual Commentary</w:t>
      </w:r>
      <w:r>
        <w:t xml:space="preserve">, 461-62.</w:t>
      </w:r>
    </w:p>
  </w:footnote>
  <w:footnote w:id="29463">
    <w:p>
      <w:pPr>
        <w:pStyle w:val="rFootn"/>
      </w:pPr>
      <w:r>
        <w:rPr>
          <w:rStyle w:val="rFootnRef"/>
        </w:rPr>
        <w:footnoteRef/>
      </w:r>
      <w:r>
        <w:t xml:space="preserve"> BDAG, s.v. “σέβομαι.”</w:t>
      </w:r>
    </w:p>
  </w:footnote>
  <w:footnote w:id="28029">
    <w:p>
      <w:pPr>
        <w:pStyle w:val="rFootn"/>
      </w:pPr>
      <w:r>
        <w:rPr>
          <w:rStyle w:val="rFootnRef"/>
        </w:rPr>
        <w:footnoteRef/>
      </w:r>
      <w:r>
        <w:t xml:space="preserve"> A. T. Robertson, </w:t>
      </w:r>
      <w:r>
        <w:rPr>
          <w:i/>
        </w:rPr>
        <w:t xml:space="preserve">Word Pictures in the New Testament</w:t>
      </w:r>
      <w:r>
        <w:t xml:space="preserve">, 3:305.</w:t>
      </w:r>
    </w:p>
  </w:footnote>
  <w:footnote w:id="29027">
    <w:p>
      <w:pPr>
        <w:pStyle w:val="rFootn"/>
      </w:pPr>
      <w:r>
        <w:rPr>
          <w:rStyle w:val="rFootnRef"/>
        </w:rPr>
        <w:footnoteRef/>
      </w:r>
      <w:r>
        <w:t xml:space="preserve"> Ramsay, </w:t>
      </w:r>
      <w:r>
        <w:rPr>
          <w:i/>
        </w:rPr>
        <w:t xml:space="preserve">The Church in the Roman Empire</w:t>
      </w:r>
      <w:r>
        <w:t xml:space="preserve">, “The Third Journey,” 93.</w:t>
      </w:r>
    </w:p>
  </w:footnote>
  <w:footnote w:id="15504">
    <w:p>
      <w:pPr>
        <w:pStyle w:val="rFootn"/>
      </w:pPr>
      <w:r>
        <w:rPr>
          <w:rStyle w:val="rFootnRef"/>
        </w:rPr>
        <w:footnoteRef/>
      </w:r>
      <w:r>
        <w:t xml:space="preserve"> Metzger, </w:t>
      </w:r>
      <w:r>
        <w:rPr>
          <w:i/>
        </w:rPr>
        <w:t xml:space="preserve">Textual Commentary</w:t>
      </w:r>
      <w:r>
        <w:t xml:space="preserve">, 466-67.</w:t>
      </w:r>
    </w:p>
  </w:footnote>
  <w:footnote w:id="14741">
    <w:p>
      <w:pPr>
        <w:pStyle w:val="rFootn"/>
      </w:pPr>
      <w:r>
        <w:rPr>
          <w:rStyle w:val="rFootnRef"/>
        </w:rPr>
        <w:footnoteRef/>
      </w:r>
      <w:r>
        <w:t xml:space="preserve"> R. C. H. Lenski, </w:t>
      </w:r>
      <w:r>
        <w:rPr>
          <w:i/>
        </w:rPr>
        <w:t xml:space="preserve">Acts of the Apostles</w:t>
      </w:r>
      <w:r>
        <w:t xml:space="preserve">, 781.</w:t>
      </w:r>
    </w:p>
  </w:footnote>
  <w:footnote w:id="29854">
    <w:p>
      <w:pPr>
        <w:pStyle w:val="rFootn"/>
      </w:pPr>
      <w:r>
        <w:rPr>
          <w:rStyle w:val="rFootnRef"/>
        </w:rPr>
        <w:footnoteRef/>
      </w:r>
      <w:r>
        <w:t xml:space="preserve"> Newman and Nida, </w:t>
      </w:r>
      <w:r>
        <w:rPr>
          <w:i/>
        </w:rPr>
        <w:t xml:space="preserve">A Translator’s Handbook on the Acts of the Apostles</w:t>
      </w:r>
      <w:r>
        <w:t xml:space="preserve">, 362.</w:t>
      </w:r>
    </w:p>
  </w:footnote>
  <w:footnote w:id="27377">
    <w:p>
      <w:pPr>
        <w:pStyle w:val="rFootn"/>
      </w:pPr>
      <w:r>
        <w:rPr>
          <w:rStyle w:val="rFootnRef"/>
        </w:rPr>
        <w:footnoteRef/>
      </w:r>
      <w:r>
        <w:t xml:space="preserve"> Lenski, </w:t>
      </w:r>
      <w:r>
        <w:rPr>
          <w:i/>
        </w:rPr>
        <w:t xml:space="preserve">Acts of the Apostles</w:t>
      </w:r>
      <w:r>
        <w:t xml:space="preserve">, 781.</w:t>
      </w:r>
    </w:p>
  </w:footnote>
  <w:footnote w:id="11161">
    <w:p>
      <w:pPr>
        <w:pStyle w:val="rFootn"/>
      </w:pPr>
      <w:r>
        <w:rPr>
          <w:rStyle w:val="rFootnRef"/>
        </w:rPr>
        <w:footnoteRef/>
      </w:r>
      <w:r>
        <w:t xml:space="preserve"> Cf. John W. Schoenheit, </w:t>
      </w:r>
      <w:r>
        <w:rPr>
          <w:i/>
        </w:rPr>
        <w:t xml:space="preserve">Baptism: The History and Significance of Christian Baptism</w:t>
      </w:r>
      <w:r>
        <w:t xml:space="preserve">.</w:t>
      </w:r>
    </w:p>
  </w:footnote>
  <w:footnote w:id="23276">
    <w:p>
      <w:pPr>
        <w:pStyle w:val="rFootn"/>
      </w:pPr>
      <w:r>
        <w:rPr>
          <w:rStyle w:val="rFootnRef"/>
        </w:rPr>
        <w:footnoteRef/>
      </w:r>
      <w:r>
        <w:t xml:space="preserve"> John Polhill, </w:t>
      </w:r>
      <w:r>
        <w:rPr>
          <w:i/>
        </w:rPr>
        <w:t xml:space="preserve">Acts</w:t>
      </w:r>
      <w:r>
        <w:t xml:space="preserve"> [NAC].</w:t>
      </w:r>
    </w:p>
  </w:footnote>
  <w:footnote w:id="30491">
    <w:p>
      <w:pPr>
        <w:pStyle w:val="rFootn"/>
      </w:pPr>
      <w:r>
        <w:rPr>
          <w:rStyle w:val="rFootnRef"/>
        </w:rPr>
        <w:footnoteRef/>
      </w:r>
      <w:r>
        <w:t xml:space="preserve"> Bruce, </w:t>
      </w:r>
      <w:r>
        <w:rPr>
          <w:i/>
        </w:rPr>
        <w:t xml:space="preserve">The Book of Acts</w:t>
      </w:r>
      <w:r>
        <w:t xml:space="preserve"> [NICNT], 367.</w:t>
      </w:r>
    </w:p>
  </w:footnote>
  <w:footnote w:id="21097">
    <w:p>
      <w:pPr>
        <w:pStyle w:val="rFootn"/>
      </w:pPr>
      <w:r>
        <w:rPr>
          <w:rStyle w:val="rFootnRef"/>
        </w:rPr>
        <w:footnoteRef/>
      </w:r>
      <w:r>
        <w:t xml:space="preserve"> Cf. F. F. Bruce, </w:t>
      </w:r>
      <w:r>
        <w:rPr>
          <w:i/>
        </w:rPr>
        <w:t xml:space="preserve">The Book of Acts</w:t>
      </w:r>
      <w:r>
        <w:t xml:space="preserve"> [NICNT].</w:t>
      </w:r>
    </w:p>
  </w:footnote>
  <w:footnote w:id="20810">
    <w:p>
      <w:pPr>
        <w:pStyle w:val="rFootn"/>
      </w:pPr>
      <w:r>
        <w:rPr>
          <w:rStyle w:val="rFootnRef"/>
        </w:rPr>
        <w:footnoteRef/>
      </w:r>
      <w:r>
        <w:t xml:space="preserve"> Cf. Lenski, </w:t>
      </w:r>
      <w:r>
        <w:rPr>
          <w:i/>
        </w:rPr>
        <w:t xml:space="preserve">Acts of the Apostles</w:t>
      </w:r>
      <w:r>
        <w:t xml:space="preserve">, 820-21.</w:t>
      </w:r>
    </w:p>
  </w:footnote>
  <w:footnote w:id="20731">
    <w:p>
      <w:pPr>
        <w:pStyle w:val="rFootn"/>
      </w:pPr>
      <w:r>
        <w:rPr>
          <w:rStyle w:val="rFootnRef"/>
        </w:rPr>
        <w:footnoteRef/>
      </w:r>
      <w:r>
        <w:t xml:space="preserve"> See Graeser, Lynn, &amp; Schoenheit, </w:t>
      </w:r>
      <w:r>
        <w:rPr>
          <w:i/>
        </w:rPr>
        <w:t xml:space="preserve">One God and One Lord</w:t>
      </w:r>
      <w:r>
        <w:t xml:space="preserve">.</w:t>
      </w:r>
    </w:p>
  </w:footnote>
  <w:footnote w:id="26686">
    <w:p>
      <w:pPr>
        <w:pStyle w:val="rFootn"/>
      </w:pPr>
      <w:r>
        <w:rPr>
          <w:rStyle w:val="rFootnRef"/>
        </w:rPr>
        <w:footnoteRef/>
      </w:r>
      <w:r>
        <w:t xml:space="preserve"> R. C. H. Lenski, </w:t>
      </w:r>
      <w:r>
        <w:rPr>
          <w:i/>
        </w:rPr>
        <w:t xml:space="preserve">Acts of the Apostles</w:t>
      </w:r>
      <w:r>
        <w:t xml:space="preserve">, 854.</w:t>
      </w:r>
    </w:p>
  </w:footnote>
  <w:footnote w:id="20403">
    <w:p>
      <w:pPr>
        <w:pStyle w:val="rFootn"/>
      </w:pPr>
      <w:r>
        <w:rPr>
          <w:rStyle w:val="rFootnRef"/>
        </w:rPr>
        <w:footnoteRef/>
      </w:r>
      <w:r>
        <w:t xml:space="preserve"> Cf. Bullinger, </w:t>
      </w:r>
      <w:r>
        <w:rPr>
          <w:i/>
        </w:rPr>
        <w:t xml:space="preserve">Figures of Speech Used in the Bible</w:t>
      </w:r>
      <w:r>
        <w:t xml:space="preserve">, 778, “chreia.”</w:t>
      </w:r>
    </w:p>
  </w:footnote>
  <w:footnote w:id="26413">
    <w:p>
      <w:pPr>
        <w:pStyle w:val="rFootn"/>
      </w:pPr>
      <w:r>
        <w:rPr>
          <w:rStyle w:val="rFootnRef"/>
        </w:rPr>
        <w:footnoteRef/>
      </w:r>
      <w:r>
        <w:t xml:space="preserve"> Robertson, </w:t>
      </w:r>
      <w:r>
        <w:rPr>
          <w:i/>
        </w:rPr>
        <w:t xml:space="preserve">Word Pictures in the New Testament</w:t>
      </w:r>
      <w:r>
        <w:t xml:space="preserve">, 3:391-92.</w:t>
      </w:r>
    </w:p>
  </w:footnote>
  <w:footnote w:id="15647">
    <w:p>
      <w:pPr>
        <w:pStyle w:val="rFootn"/>
      </w:pPr>
      <w:r>
        <w:rPr>
          <w:rStyle w:val="rFootnRef"/>
        </w:rPr>
        <w:footnoteRef/>
      </w:r>
      <w:r>
        <w:t xml:space="preserve"> Cf. Robertson, </w:t>
      </w:r>
      <w:r>
        <w:rPr>
          <w:i/>
        </w:rPr>
        <w:t xml:space="preserve">Word Pictures in the New Testament</w:t>
      </w:r>
      <w:r>
        <w:t xml:space="preserve">, 3:393; Lenski, </w:t>
      </w:r>
      <w:r>
        <w:rPr>
          <w:i/>
        </w:rPr>
        <w:t xml:space="preserve">The Acts of the Apostles</w:t>
      </w:r>
      <w:r>
        <w:t xml:space="preserve">, 918.</w:t>
      </w:r>
    </w:p>
  </w:footnote>
  <w:footnote w:id="11767">
    <w:p>
      <w:pPr>
        <w:pStyle w:val="rFootn"/>
      </w:pPr>
      <w:r>
        <w:rPr>
          <w:rStyle w:val="rFootnRef"/>
        </w:rPr>
        <w:footnoteRef/>
      </w:r>
      <w:r>
        <w:t xml:space="preserve"> Wikipedia, “Antonius Felix,” accessed December 19, 2023, https://en.wikipedia.org/wiki/Antonius_Felix.</w:t>
      </w:r>
    </w:p>
  </w:footnote>
  <w:footnote w:id="24357">
    <w:p>
      <w:pPr>
        <w:pStyle w:val="rFootn"/>
      </w:pPr>
      <w:r>
        <w:rPr>
          <w:rStyle w:val="rFootnRef"/>
        </w:rPr>
        <w:footnoteRef/>
      </w:r>
      <w:r>
        <w:t xml:space="preserve"> Zodhiates, </w:t>
      </w:r>
      <w:r>
        <w:rPr>
          <w:i/>
        </w:rPr>
        <w:t xml:space="preserve">Word Study Dictionary</w:t>
      </w:r>
      <w:r>
        <w:t xml:space="preserve">, s.v. “epieikeia.”</w:t>
      </w:r>
    </w:p>
  </w:footnote>
  <w:footnote w:id="20775">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10437">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30982">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27944">
    <w:p>
      <w:pPr>
        <w:pStyle w:val="rFootn"/>
      </w:pPr>
      <w:r>
        <w:rPr>
          <w:rStyle w:val="rFootnRef"/>
        </w:rPr>
        <w:footnoteRef/>
      </w:r>
      <w:r>
        <w:t xml:space="preserve"> Cf. BDAG, s.v. “κατά.”</w:t>
      </w:r>
    </w:p>
  </w:footnote>
  <w:footnote w:id="30706">
    <w:p>
      <w:pPr>
        <w:pStyle w:val="rFootn"/>
      </w:pPr>
      <w:r>
        <w:rPr>
          <w:rStyle w:val="rFootnRef"/>
        </w:rPr>
        <w:footnoteRef/>
      </w:r>
      <w:r>
        <w:t xml:space="preserve"> Wikipedia, “Antonius Felix,” accessed December 19, 2023, https://en.wikipedia.org/wiki/Antonius_Felix.</w:t>
      </w:r>
    </w:p>
  </w:footnote>
  <w:footnote w:id="16915">
    <w:p>
      <w:pPr>
        <w:pStyle w:val="rFootn"/>
      </w:pPr>
      <w:r>
        <w:rPr>
          <w:rStyle w:val="rFootnRef"/>
        </w:rPr>
        <w:footnoteRef/>
      </w:r>
      <w:r>
        <w:t xml:space="preserve"> R. C. H. Lenski, </w:t>
      </w:r>
      <w:r>
        <w:rPr>
          <w:i/>
        </w:rPr>
        <w:t xml:space="preserve">Acts of the Apostles</w:t>
      </w:r>
      <w:r>
        <w:t xml:space="preserve">, 987.</w:t>
      </w:r>
    </w:p>
  </w:footnote>
  <w:footnote w:id="10215">
    <w:p>
      <w:pPr>
        <w:pStyle w:val="rFootn"/>
      </w:pPr>
      <w:r>
        <w:rPr>
          <w:rStyle w:val="rFootnRef"/>
        </w:rPr>
        <w:footnoteRef/>
      </w:r>
      <w:r>
        <w:t xml:space="preserve"> A. T. Robertson, </w:t>
      </w:r>
      <w:r>
        <w:rPr>
          <w:i/>
        </w:rPr>
        <w:t xml:space="preserve">Word Pictures in the New Testament</w:t>
      </w:r>
      <w:r>
        <w:t xml:space="preserve">, 3:446-47.</w:t>
      </w:r>
    </w:p>
  </w:footnote>
  <w:footnote w:id="10423">
    <w:p>
      <w:pPr>
        <w:pStyle w:val="rFootn"/>
      </w:pPr>
      <w:r>
        <w:rPr>
          <w:rStyle w:val="rFootnRef"/>
        </w:rPr>
        <w:footnoteRef/>
      </w:r>
      <w:r>
        <w:t xml:space="preserve"> R. C. H. Lenski, </w:t>
      </w:r>
      <w:r>
        <w:rPr>
          <w:i/>
        </w:rPr>
        <w:t xml:space="preserve">Acts of the Apostles</w:t>
      </w:r>
      <w:r>
        <w:t xml:space="preserve">, 1055.</w:t>
      </w:r>
    </w:p>
  </w:footnote>
  <w:footnote w:id="14004">
    <w:p>
      <w:pPr>
        <w:pStyle w:val="rFootn"/>
      </w:pPr>
      <w:r>
        <w:rPr>
          <w:rStyle w:val="rFootnRef"/>
        </w:rPr>
        <w:footnoteRef/>
      </w:r>
      <w:r>
        <w:t xml:space="preserve"> Louw and Nida, s.v. “παραλέγομαι.”</w:t>
      </w:r>
    </w:p>
  </w:footnote>
  <w:footnote w:id="20917">
    <w:p>
      <w:pPr>
        <w:pStyle w:val="rFootn"/>
      </w:pPr>
      <w:r>
        <w:rPr>
          <w:rStyle w:val="rFootnRef"/>
        </w:rPr>
        <w:footnoteRef/>
      </w:r>
      <w:r>
        <w:t xml:space="preserve"> </w:t>
      </w:r>
      <w:r>
        <w:rPr>
          <w:i/>
        </w:rPr>
        <w:t xml:space="preserve">EDNT</w:t>
      </w:r>
      <w:r>
        <w:t xml:space="preserve">, s.v.“ παραλέγομαι.”</w:t>
      </w:r>
    </w:p>
  </w:footnote>
  <w:footnote w:id="29512">
    <w:p>
      <w:pPr>
        <w:pStyle w:val="rFootn"/>
      </w:pPr>
      <w:r>
        <w:rPr>
          <w:rStyle w:val="rFootnRef"/>
        </w:rPr>
        <w:footnoteRef/>
      </w:r>
      <w:r>
        <w:t xml:space="preserve"> Cf. Lenski, </w:t>
      </w:r>
      <w:r>
        <w:rPr>
          <w:i/>
        </w:rPr>
        <w:t xml:space="preserve">Acts of the Apostles</w:t>
      </w:r>
      <w:r>
        <w:t xml:space="preserve">, 1305-06.</w:t>
      </w:r>
    </w:p>
  </w:footnote>
  <w:footnote w:id="31964">
    <w:p>
      <w:pPr>
        <w:pStyle w:val="rFootn"/>
      </w:pPr>
      <w:r>
        <w:rPr>
          <w:rStyle w:val="rFootnRef"/>
        </w:rPr>
        <w:footnoteRef/>
      </w:r>
      <w:r>
        <w:t xml:space="preserve"> Cf. BDAG, s.v. “διαφέρω”; F. F. Bruce, </w:t>
      </w:r>
      <w:r>
        <w:rPr>
          <w:i/>
        </w:rPr>
        <w:t xml:space="preserve">The Book of Acts</w:t>
      </w:r>
      <w:r>
        <w:t xml:space="preserve"> [NICNT], 493-95.</w:t>
      </w:r>
    </w:p>
  </w:footnote>
  <w:footnote w:id="12761">
    <w:p>
      <w:pPr>
        <w:pStyle w:val="rFootn"/>
      </w:pPr>
      <w:r>
        <w:rPr>
          <w:rStyle w:val="rFootnRef"/>
        </w:rPr>
        <w:footnoteRef/>
      </w:r>
      <w:r>
        <w:t xml:space="preserve"> Kistemaker, </w:t>
      </w:r>
      <w:r>
        <w:rPr>
          <w:i/>
        </w:rPr>
        <w:t xml:space="preserve">New Testament Commentary: Acts</w:t>
      </w:r>
      <w:r>
        <w:t xml:space="preserve">.</w:t>
      </w:r>
    </w:p>
  </w:footnote>
  <w:footnote w:id="30213">
    <w:p>
      <w:pPr>
        <w:pStyle w:val="rFootn"/>
      </w:pPr>
      <w:r>
        <w:rPr>
          <w:rStyle w:val="rFootnRef"/>
        </w:rPr>
        <w:footnoteRef/>
      </w:r>
      <w:r>
        <w:t xml:space="preserve"> Cf. Bullinger, </w:t>
      </w:r>
      <w:r>
        <w:rPr>
          <w:i/>
        </w:rPr>
        <w:t xml:space="preserve">The Foundations of Dispensational Truth</w:t>
      </w:r>
      <w:r>
        <w:t xml:space="preserve">.</w:t>
      </w:r>
    </w:p>
  </w:footnote>
  <w:footnote w:id="32552">
    <w:p>
      <w:pPr>
        <w:pStyle w:val="rFootn"/>
      </w:pPr>
      <w:r>
        <w:rPr>
          <w:rStyle w:val="rFootnRef"/>
        </w:rPr>
        <w:footnoteRef/>
      </w:r>
      <w:r>
        <w:t xml:space="preserve"> Cf. Bullinger, </w:t>
      </w:r>
      <w:r>
        <w:rPr>
          <w:i/>
        </w:rPr>
        <w:t xml:space="preserve">Foundations</w:t>
      </w:r>
      <w:r>
        <w:t xml:space="preserve">, 179-180.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447088">
    <w:multiLevelType w:val="hybridMultilevel"/>
    <w:lvl w:ilvl="0" w:tplc="71969465">
      <w:start w:val="1"/>
      <w:numFmt w:val="decimal"/>
      <w:lvlText w:val="%1."/>
      <w:lvlJc w:val="left"/>
      <w:pPr>
        <w:ind w:left="720" w:hanging="360"/>
      </w:pPr>
    </w:lvl>
    <w:lvl w:ilvl="1" w:tplc="71969465" w:tentative="1">
      <w:start w:val="1"/>
      <w:numFmt w:val="lowerLetter"/>
      <w:lvlText w:val="%2."/>
      <w:lvlJc w:val="left"/>
      <w:pPr>
        <w:ind w:left="1440" w:hanging="360"/>
      </w:pPr>
    </w:lvl>
    <w:lvl w:ilvl="2" w:tplc="71969465" w:tentative="1">
      <w:start w:val="1"/>
      <w:numFmt w:val="lowerRoman"/>
      <w:lvlText w:val="%3."/>
      <w:lvlJc w:val="right"/>
      <w:pPr>
        <w:ind w:left="2160" w:hanging="180"/>
      </w:pPr>
    </w:lvl>
    <w:lvl w:ilvl="3" w:tplc="71969465" w:tentative="1">
      <w:start w:val="1"/>
      <w:numFmt w:val="decimal"/>
      <w:lvlText w:val="%4."/>
      <w:lvlJc w:val="left"/>
      <w:pPr>
        <w:ind w:left="2880" w:hanging="360"/>
      </w:pPr>
    </w:lvl>
    <w:lvl w:ilvl="4" w:tplc="71969465" w:tentative="1">
      <w:start w:val="1"/>
      <w:numFmt w:val="lowerLetter"/>
      <w:lvlText w:val="%5."/>
      <w:lvlJc w:val="left"/>
      <w:pPr>
        <w:ind w:left="3600" w:hanging="360"/>
      </w:pPr>
    </w:lvl>
    <w:lvl w:ilvl="5" w:tplc="71969465" w:tentative="1">
      <w:start w:val="1"/>
      <w:numFmt w:val="lowerRoman"/>
      <w:lvlText w:val="%6."/>
      <w:lvlJc w:val="right"/>
      <w:pPr>
        <w:ind w:left="4320" w:hanging="180"/>
      </w:pPr>
    </w:lvl>
    <w:lvl w:ilvl="6" w:tplc="71969465" w:tentative="1">
      <w:start w:val="1"/>
      <w:numFmt w:val="decimal"/>
      <w:lvlText w:val="%7."/>
      <w:lvlJc w:val="left"/>
      <w:pPr>
        <w:ind w:left="5040" w:hanging="360"/>
      </w:pPr>
    </w:lvl>
    <w:lvl w:ilvl="7" w:tplc="71969465" w:tentative="1">
      <w:start w:val="1"/>
      <w:numFmt w:val="lowerLetter"/>
      <w:lvlText w:val="%8."/>
      <w:lvlJc w:val="left"/>
      <w:pPr>
        <w:ind w:left="5760" w:hanging="360"/>
      </w:pPr>
    </w:lvl>
    <w:lvl w:ilvl="8" w:tplc="71969465" w:tentative="1">
      <w:start w:val="1"/>
      <w:numFmt w:val="lowerRoman"/>
      <w:lvlText w:val="%9."/>
      <w:lvlJc w:val="right"/>
      <w:pPr>
        <w:ind w:left="6480" w:hanging="180"/>
      </w:pPr>
    </w:lvl>
  </w:abstractNum>
  <w:abstractNum w:abstractNumId="33447087">
    <w:multiLevelType w:val="hybridMultilevel"/>
    <w:lvl w:ilvl="0" w:tplc="19327153">
      <w:start w:val="1"/>
      <w:numFmt w:val="decimal"/>
      <w:lvlText w:val="%1."/>
      <w:lvlJc w:val="left"/>
      <w:pPr>
        <w:ind w:left="720" w:hanging="360"/>
      </w:pPr>
    </w:lvl>
    <w:lvl w:ilvl="1" w:tplc="19327153" w:tentative="1">
      <w:start w:val="1"/>
      <w:numFmt w:val="lowerLetter"/>
      <w:lvlText w:val="%2."/>
      <w:lvlJc w:val="left"/>
      <w:pPr>
        <w:ind w:left="1440" w:hanging="360"/>
      </w:pPr>
    </w:lvl>
    <w:lvl w:ilvl="2" w:tplc="19327153" w:tentative="1">
      <w:start w:val="1"/>
      <w:numFmt w:val="lowerRoman"/>
      <w:lvlText w:val="%3."/>
      <w:lvlJc w:val="right"/>
      <w:pPr>
        <w:ind w:left="2160" w:hanging="180"/>
      </w:pPr>
    </w:lvl>
    <w:lvl w:ilvl="3" w:tplc="19327153" w:tentative="1">
      <w:start w:val="1"/>
      <w:numFmt w:val="decimal"/>
      <w:lvlText w:val="%4."/>
      <w:lvlJc w:val="left"/>
      <w:pPr>
        <w:ind w:left="2880" w:hanging="360"/>
      </w:pPr>
    </w:lvl>
    <w:lvl w:ilvl="4" w:tplc="19327153" w:tentative="1">
      <w:start w:val="1"/>
      <w:numFmt w:val="lowerLetter"/>
      <w:lvlText w:val="%5."/>
      <w:lvlJc w:val="left"/>
      <w:pPr>
        <w:ind w:left="3600" w:hanging="360"/>
      </w:pPr>
    </w:lvl>
    <w:lvl w:ilvl="5" w:tplc="19327153" w:tentative="1">
      <w:start w:val="1"/>
      <w:numFmt w:val="lowerRoman"/>
      <w:lvlText w:val="%6."/>
      <w:lvlJc w:val="right"/>
      <w:pPr>
        <w:ind w:left="4320" w:hanging="180"/>
      </w:pPr>
    </w:lvl>
    <w:lvl w:ilvl="6" w:tplc="19327153" w:tentative="1">
      <w:start w:val="1"/>
      <w:numFmt w:val="decimal"/>
      <w:lvlText w:val="%7."/>
      <w:lvlJc w:val="left"/>
      <w:pPr>
        <w:ind w:left="5040" w:hanging="360"/>
      </w:pPr>
    </w:lvl>
    <w:lvl w:ilvl="7" w:tplc="19327153" w:tentative="1">
      <w:start w:val="1"/>
      <w:numFmt w:val="lowerLetter"/>
      <w:lvlText w:val="%8."/>
      <w:lvlJc w:val="left"/>
      <w:pPr>
        <w:ind w:left="5760" w:hanging="360"/>
      </w:pPr>
    </w:lvl>
    <w:lvl w:ilvl="8" w:tplc="19327153" w:tentative="1">
      <w:start w:val="1"/>
      <w:numFmt w:val="lowerRoman"/>
      <w:lvlText w:val="%9."/>
      <w:lvlJc w:val="right"/>
      <w:pPr>
        <w:ind w:left="6480" w:hanging="180"/>
      </w:pPr>
    </w:lvl>
  </w:abstractNum>
  <w:abstractNum w:abstractNumId="6394">
    <w:multiLevelType w:val="hybridMultilevel"/>
    <w:lvl w:ilvl="0" w:tplc="146708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394">
    <w:abstractNumId w:val="6394"/>
  </w:num>
  <w:num w:numId="33447087">
    <w:abstractNumId w:val="33447087"/>
  </w:num>
  <w:num w:numId="33447088">
    <w:abstractNumId w:val="3344708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2879133" Type="http://schemas.openxmlformats.org/officeDocument/2006/relationships/numbering" Target="numbering.xml"/><Relationship Id="rId886394831" Type="http://schemas.openxmlformats.org/officeDocument/2006/relationships/comments" Target="comments.xml"/><Relationship Id="rId345567bb2e48783b4" Type="http://schemas.openxmlformats.org/officeDocument/2006/relationships/footer" Target="defaultFooter.xml"/><Relationship Id="rId813867bb2e4940dd3" Type="http://schemas.openxmlformats.org/officeDocument/2006/relationships/hyperlink" Target="https://www.blueletterbible.org/lexicon/G1722/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