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2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 of Jesus Christ</w:t>
      </w:r>
      <w:r>
        <w:rPr>
          <w:rStyle w:val="rFootnRef"/>
        </w:rPr>
        <w:footnoteReference w:id="23632"/>
      </w:r>
      <w:r>
        <w:rPr/>
        <w:t xml:space="preserve"> by the will of God, and Sosthenes, our brother, </w:t>
      </w:r>
      <w:r>
        <w:rPr>
          <w:rStyle w:val="rSupStyle"/>
          <w:vertAlign w:val="superscript"/>
        </w:rPr>
        <w:t xml:space="preserve">2</w:t>
      </w:r>
      <w:r>
        <w:rPr/>
        <w:t xml:space="preserve">to the church of God that is at Corinth, to those who have been made holy in Christ Jesus, called ones, holy ones,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rFootnRef"/>
        </w:rPr>
        <w:footnoteReference w:id="30681"/>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rFootnRef"/>
        </w:rPr>
        <w:footnoteReference w:id="24833"/>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rFootnRef"/>
        </w:rPr>
        <w:footnoteReference w:id="30162"/>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rFootnRef"/>
        </w:rPr>
        <w:footnoteReference w:id="10942"/>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rFootnRef"/>
        </w:rPr>
        <w:footnoteReference w:id="18746"/>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w:t>
      </w:r>
      <w:r>
        <w:rPr>
          <w:i/>
          <w:iCs/>
        </w:rPr>
        <w:t xml:space="preserve">people</w:t>
      </w:r>
      <w:r>
        <w:rPr/>
        <w:t xml:space="preserve">, but as to </w:t>
      </w:r>
      <w:r>
        <w:rPr>
          <w:i/>
          <w:iCs/>
        </w:rPr>
        <w:t xml:space="preserve">people</w:t>
      </w:r>
      <w:r>
        <w:rPr/>
        <w:t xml:space="preserve"> of the flesh, as to babies in Christ.</w:t>
      </w:r>
      <w:r>
        <w:rPr>
          <w:rStyle w:val="rFootnRef"/>
        </w:rPr>
        <w:footnoteReference w:id="24049"/>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for you are still of the flesh. For while there is jealousy and strife among you, are you not of the flesh, and are you not walking like </w:t>
      </w:r>
      <w:r>
        <w:rPr>
          <w:i/>
          <w:iCs/>
        </w:rPr>
        <w:t xml:space="preserve">unsaved</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together are God’s sanctuary, and </w:t>
      </w:r>
      <w:r>
        <w:rPr>
          <w:i/>
          <w:iCs/>
        </w:rPr>
        <w:t xml:space="preserve">that</w:t>
      </w:r>
      <w:r>
        <w:rPr/>
        <w:t xml:space="preserve"> the spirit of God lives in you? </w:t>
      </w:r>
      <w:r>
        <w:rPr>
          <w:rStyle w:val="rSupStyle"/>
          <w:vertAlign w:val="superscript"/>
        </w:rPr>
        <w:t xml:space="preserve">17</w:t>
      </w:r>
      <w:r>
        <w:rPr/>
        <w:t xml:space="preserve">If anyone mars the sanctuary of God, God will mar him, for the sanctuary of God, which all of you together are, is holy.</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rFootnRef"/>
        </w:rPr>
        <w:footnoteReference w:id="11029"/>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rFootnRef"/>
        </w:rPr>
        <w:footnoteReference w:id="13384"/>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rFootnRef"/>
        </w:rPr>
        <w:footnoteReference w:id="10987"/>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rFootnRef"/>
        </w:rPr>
        <w:footnoteReference w:id="23932"/>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rFootnRef"/>
        </w:rPr>
        <w:footnoteReference w:id="28080"/>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rFootnRef"/>
        </w:rPr>
        <w:footnoteReference w:id="29148"/>
      </w:r>
      <w:r>
        <w:rPr/>
        <w:t xml:space="preserve"> so that you can be a new lump, just as you </w:t>
      </w:r>
      <w:r>
        <w:rPr>
          <w:i/>
          <w:iCs/>
        </w:rPr>
        <w:t xml:space="preserve">really</w:t>
      </w:r>
      <w:r>
        <w:rPr/>
        <w:t xml:space="preserve"> are unleavened. For indeed, Christ,</w:t>
      </w:r>
      <w:r>
        <w:rPr>
          <w:rStyle w:val="rFootnRef"/>
        </w:rPr>
        <w:footnoteReference w:id="28520"/>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rFootnRef"/>
        </w:rPr>
        <w:footnoteReference w:id="30692"/>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rFootnRef"/>
        </w:rPr>
        <w:footnoteReference w:id="29710"/>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rFootnRef"/>
        </w:rPr>
        <w:footnoteReference w:id="25049"/>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rFootnRef"/>
        </w:rPr>
        <w:footnoteReference w:id="12322"/>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rFootnRef"/>
        </w:rPr>
        <w:footnoteReference w:id="31799"/>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rFootnRef"/>
        </w:rPr>
        <w:footnoteReference w:id="28161"/>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rFootnRef"/>
        </w:rPr>
        <w:footnoteReference w:id="17926"/>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rFootnRef"/>
        </w:rPr>
        <w:footnoteReference w:id="31915"/>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rFootnRef"/>
        </w:rPr>
        <w:footnoteReference w:id="17497"/>
      </w:r>
      <w:r>
        <w:rPr/>
        <w:t xml:space="preserve"> </w:t>
      </w:r>
      <w:r>
        <w:rPr>
          <w:rStyle w:val="rOTQuote"/>
        </w:rPr>
        <w:t xml:space="preserve">sat down to eat and drink, and rose up to play</w:t>
      </w:r>
      <w:r>
        <w:rPr/>
        <w:t xml:space="preserve">.</w:t>
      </w:r>
      <w:r>
        <w:rPr>
          <w:rStyle w:val="rFootnRef"/>
        </w:rPr>
        <w:footnoteReference w:id="27295"/>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rFootnRef"/>
        </w:rPr>
        <w:footnoteReference w:id="28415"/>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rFootnRef"/>
        </w:rPr>
        <w:footnoteReference w:id="30303"/>
      </w:r>
      <w:r>
        <w:rPr>
          <w:rStyle w:val="rFootnRef"/>
        </w:rPr>
        <w:footnoteReference w:id="23518"/>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rFootnRef"/>
        </w:rPr>
        <w:footnoteReference w:id="11462"/>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rFootnRef"/>
        </w:rPr>
        <w:footnoteReference w:id="12585"/>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spirits,</w:t>
      </w:r>
      <w:r>
        <w:rPr>
          <w:rStyle w:val="rFootnRef"/>
        </w:rPr>
        <w:footnoteReference w:id="16095"/>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rFootnRef"/>
        </w:rPr>
        <w:footnoteReference w:id="29935"/>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spirits</w:t>
      </w:r>
      <w:r>
        <w:rPr>
          <w:rStyle w:val="rFootnRef"/>
        </w:rPr>
        <w:footnoteReference w:id="15498"/>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rFootnRef"/>
        </w:rPr>
        <w:footnoteReference w:id="18036"/>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rFootnRef"/>
        </w:rPr>
        <w:footnoteReference w:id="27077"/>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rFootnRef"/>
        </w:rPr>
        <w:footnoteReference w:id="12940"/>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w:t>
      </w:r>
      <w:r>
        <w:rPr>
          <w:rStyle w:val="rFootnRef"/>
        </w:rPr>
        <w:footnoteReference w:id="25565"/>
      </w:r>
      <w:r>
        <w:rPr/>
        <w:t xml:space="preserve">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rFootnRef"/>
        </w:rPr>
        <w:footnoteReference w:id="18209"/>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rFootnRef"/>
        </w:rPr>
        <w:footnoteReference w:id="18396"/>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rFootnRef"/>
        </w:rPr>
        <w:footnoteReference w:id="32749"/>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rFootnRef"/>
        </w:rPr>
        <w:footnoteReference w:id="12872"/>
      </w:r>
      <w:r>
        <w:rPr/>
        <w:t xml:space="preserve"> be courageous,</w:t>
      </w:r>
      <w:r>
        <w:rPr>
          <w:rStyle w:val="rFootnRef"/>
        </w:rPr>
        <w:footnoteReference w:id="23012"/>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rFootnRef"/>
        </w:rPr>
        <w:footnoteReference w:id="11119"/>
      </w:r>
      <w:r>
        <w:rPr/>
        <w:t xml:space="preserve"> </w:t>
      </w:r>
      <w:r>
        <w:rPr>
          <w:rStyle w:val="rSupStyle"/>
          <w:vertAlign w:val="superscript"/>
        </w:rPr>
        <w:t xml:space="preserve">23</w:t>
      </w:r>
      <w:r>
        <w:rPr/>
        <w:t xml:space="preserve">The grace of the Lord Jesus Christ</w:t>
      </w:r>
      <w:r>
        <w:rPr>
          <w:rStyle w:val="rFootnRef"/>
        </w:rPr>
        <w:footnoteReference w:id="18705"/>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592867bb2e3f80c2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286834"/>
      <w:docPartObj>
        <w:docPartGallery w:val="Page Numbers (Bottom of Page)"/>
        <w:docPartUnique/>
      </w:docPartObj>
    </w:sdtPr>
    <w:sdtContent>
      <w:sdt>
        <w:sdtPr>
          <w:id w:val="6681810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632">
    <w:p>
      <w:pPr>
        <w:pStyle w:val="rFootn"/>
      </w:pPr>
      <w:r>
        <w:rPr>
          <w:rStyle w:val="rFootnRef"/>
        </w:rPr>
        <w:footnoteRef/>
      </w:r>
      <w:r>
        <w:t xml:space="preserve"> Lit. “the Anointed One”</w:t>
      </w:r>
    </w:p>
  </w:footnote>
  <w:footnote w:id="30681">
    <w:p>
      <w:pPr>
        <w:pStyle w:val="rFootn"/>
      </w:pPr>
      <w:r>
        <w:rPr>
          <w:rStyle w:val="rFootnRef"/>
        </w:rPr>
        <w:footnoteRef/>
      </w:r>
      <w:r>
        <w:t xml:space="preserve"> From Isa. 29:14</w:t>
      </w:r>
    </w:p>
  </w:footnote>
  <w:footnote w:id="24833">
    <w:p>
      <w:pPr>
        <w:pStyle w:val="rFootn"/>
      </w:pPr>
      <w:r>
        <w:rPr>
          <w:rStyle w:val="rFootnRef"/>
        </w:rPr>
        <w:footnoteRef/>
      </w:r>
      <w:r>
        <w:t xml:space="preserve"> From Jer. 9:24</w:t>
      </w:r>
    </w:p>
  </w:footnote>
  <w:footnote w:id="30162">
    <w:p>
      <w:pPr>
        <w:pStyle w:val="rFootn"/>
      </w:pPr>
      <w:r>
        <w:rPr>
          <w:rStyle w:val="rFootnRef"/>
        </w:rPr>
        <w:footnoteRef/>
      </w:r>
      <w:r>
        <w:t xml:space="preserve"> Lit. “the Anointed One”</w:t>
      </w:r>
    </w:p>
  </w:footnote>
  <w:footnote w:id="10942">
    <w:p>
      <w:pPr>
        <w:pStyle w:val="rFootn"/>
      </w:pPr>
      <w:r>
        <w:rPr>
          <w:rStyle w:val="rFootnRef"/>
        </w:rPr>
        <w:footnoteRef/>
      </w:r>
      <w:r>
        <w:t xml:space="preserve"> From Isa. 64:4</w:t>
      </w:r>
    </w:p>
  </w:footnote>
  <w:footnote w:id="18746">
    <w:p>
      <w:pPr>
        <w:pStyle w:val="rFootn"/>
      </w:pPr>
      <w:r>
        <w:rPr>
          <w:rStyle w:val="rFootnRef"/>
        </w:rPr>
        <w:footnoteRef/>
      </w:r>
      <w:r>
        <w:t xml:space="preserve"> From Isa. 40:13</w:t>
      </w:r>
    </w:p>
  </w:footnote>
  <w:footnote w:id="24049">
    <w:p>
      <w:pPr>
        <w:pStyle w:val="rFootn"/>
      </w:pPr>
      <w:r>
        <w:rPr>
          <w:rStyle w:val="rFootnRef"/>
        </w:rPr>
        <w:footnoteRef/>
      </w:r>
      <w:r>
        <w:t xml:space="preserve"> Lit. “the Anointed One”</w:t>
      </w:r>
    </w:p>
  </w:footnote>
  <w:footnote w:id="11029">
    <w:p>
      <w:pPr>
        <w:pStyle w:val="rFootn"/>
      </w:pPr>
      <w:r>
        <w:rPr>
          <w:rStyle w:val="rFootnRef"/>
        </w:rPr>
        <w:footnoteRef/>
      </w:r>
      <w:r>
        <w:t xml:space="preserve"> From Job 5:13</w:t>
      </w:r>
    </w:p>
  </w:footnote>
  <w:footnote w:id="13384">
    <w:p>
      <w:pPr>
        <w:pStyle w:val="rFootn"/>
      </w:pPr>
      <w:r>
        <w:rPr>
          <w:rStyle w:val="rFootnRef"/>
        </w:rPr>
        <w:footnoteRef/>
      </w:r>
      <w:r>
        <w:t xml:space="preserve"> From Ps. 94:11</w:t>
      </w:r>
    </w:p>
  </w:footnote>
  <w:footnote w:id="10987">
    <w:p>
      <w:pPr>
        <w:pStyle w:val="rFootn"/>
      </w:pPr>
      <w:r>
        <w:rPr>
          <w:rStyle w:val="rFootnRef"/>
        </w:rPr>
        <w:footnoteRef/>
      </w:r>
      <w:r>
        <w:t xml:space="preserve"> Lit. “the Anointed One”</w:t>
      </w:r>
    </w:p>
  </w:footnote>
  <w:footnote w:id="23932">
    <w:p>
      <w:pPr>
        <w:pStyle w:val="rFootn"/>
      </w:pPr>
      <w:r>
        <w:rPr>
          <w:rStyle w:val="rFootnRef"/>
        </w:rPr>
        <w:footnoteRef/>
      </w:r>
      <w:r>
        <w:t xml:space="preserve"> Paul alludes to the Roman Triumphal Procession. After some wars, captives were marched through Rome and on to slavery or death.</w:t>
      </w:r>
    </w:p>
  </w:footnote>
  <w:footnote w:id="28080">
    <w:p>
      <w:pPr>
        <w:pStyle w:val="rFootn"/>
      </w:pPr>
      <w:r>
        <w:rPr>
          <w:rStyle w:val="rFootnRef"/>
        </w:rPr>
        <w:footnoteRef/>
      </w:r>
      <w:r>
        <w:t xml:space="preserve"> Or “counsel”</w:t>
      </w:r>
    </w:p>
  </w:footnote>
  <w:footnote w:id="29148">
    <w:p>
      <w:pPr>
        <w:pStyle w:val="rFootn"/>
      </w:pPr>
      <w:r>
        <w:rPr>
          <w:rStyle w:val="rFootnRef"/>
        </w:rPr>
        <w:footnoteRef/>
      </w:r>
      <w:r>
        <w:t xml:space="preserve"> Part of the Feast of Unleavened Bread was removing all leaven, yeast, from the house (Exod. 12:15).</w:t>
      </w:r>
    </w:p>
  </w:footnote>
  <w:footnote w:id="28520">
    <w:p>
      <w:pPr>
        <w:pStyle w:val="rFootn"/>
      </w:pPr>
      <w:r>
        <w:rPr>
          <w:rStyle w:val="rFootnRef"/>
        </w:rPr>
        <w:footnoteRef/>
      </w:r>
      <w:r>
        <w:t xml:space="preserve"> Lit. “the Anointed One”</w:t>
      </w:r>
    </w:p>
  </w:footnote>
  <w:footnote w:id="30692">
    <w:p>
      <w:pPr>
        <w:pStyle w:val="rFootn"/>
      </w:pPr>
      <w:r>
        <w:rPr>
          <w:rStyle w:val="rFootnRef"/>
        </w:rPr>
        <w:footnoteRef/>
      </w:r>
      <w:r>
        <w:t xml:space="preserve"> Lit. “the Anointed One”</w:t>
      </w:r>
    </w:p>
  </w:footnote>
  <w:footnote w:id="29710">
    <w:p>
      <w:pPr>
        <w:pStyle w:val="rFootn"/>
      </w:pPr>
      <w:r>
        <w:rPr>
          <w:rStyle w:val="rFootnRef"/>
        </w:rPr>
        <w:footnoteRef/>
      </w:r>
      <w:r>
        <w:t xml:space="preserve"> From Gen. 2:24</w:t>
      </w:r>
    </w:p>
  </w:footnote>
  <w:footnote w:id="25049">
    <w:p>
      <w:pPr>
        <w:pStyle w:val="rFootn"/>
      </w:pPr>
      <w:r>
        <w:rPr>
          <w:rStyle w:val="rFootnRef"/>
        </w:rPr>
        <w:footnoteRef/>
      </w:r>
      <w:r>
        <w:t xml:space="preserve"> Idiom for sexual touch and sexual intercourse.</w:t>
      </w:r>
    </w:p>
  </w:footnote>
  <w:footnote w:id="12322">
    <w:p>
      <w:pPr>
        <w:pStyle w:val="rFootn"/>
      </w:pPr>
      <w:r>
        <w:rPr>
          <w:rStyle w:val="rFootnRef"/>
        </w:rPr>
        <w:footnoteRef/>
      </w:r>
      <w:r>
        <w:t xml:space="preserve"> Lit. “a slave of the Anointed One”</w:t>
      </w:r>
    </w:p>
  </w:footnote>
  <w:footnote w:id="31799">
    <w:p>
      <w:pPr>
        <w:pStyle w:val="rFootn"/>
      </w:pPr>
      <w:r>
        <w:rPr>
          <w:rStyle w:val="rFootnRef"/>
        </w:rPr>
        <w:footnoteRef/>
      </w:r>
      <w:r>
        <w:t xml:space="preserve"> Lit. “the Anointed One”</w:t>
      </w:r>
    </w:p>
  </w:footnote>
  <w:footnote w:id="28161">
    <w:p>
      <w:pPr>
        <w:pStyle w:val="rFootn"/>
      </w:pPr>
      <w:r>
        <w:rPr>
          <w:rStyle w:val="rFootnRef"/>
        </w:rPr>
        <w:footnoteRef/>
      </w:r>
      <w:r>
        <w:t xml:space="preserve"> From Deut. 25:4</w:t>
      </w:r>
    </w:p>
  </w:footnote>
  <w:footnote w:id="17926">
    <w:p>
      <w:pPr>
        <w:pStyle w:val="rFootn"/>
      </w:pPr>
      <w:r>
        <w:rPr>
          <w:rStyle w:val="rFootnRef"/>
        </w:rPr>
        <w:footnoteRef/>
      </w:r>
      <w:r>
        <w:t xml:space="preserve"> Lit. “the Anointed One”</w:t>
      </w:r>
    </w:p>
  </w:footnote>
  <w:footnote w:id="31915">
    <w:p>
      <w:pPr>
        <w:pStyle w:val="rFootn"/>
      </w:pPr>
      <w:r>
        <w:rPr>
          <w:rStyle w:val="rFootnRef"/>
        </w:rPr>
        <w:footnoteRef/>
      </w:r>
      <w:r>
        <w:t xml:space="preserve"> Lit. “the Anointed One”</w:t>
      </w:r>
    </w:p>
  </w:footnote>
  <w:footnote w:id="17497">
    <w:p>
      <w:pPr>
        <w:pStyle w:val="rFootn"/>
      </w:pPr>
      <w:r>
        <w:rPr>
          <w:rStyle w:val="rFootnRef"/>
        </w:rPr>
        <w:footnoteRef/>
      </w:r>
      <w:r>
        <w:t xml:space="preserve"> The nation of Israel was called “the People,” so it is appropriate to capitalize it when it refers to Israel.</w:t>
      </w:r>
    </w:p>
  </w:footnote>
  <w:footnote w:id="27295">
    <w:p>
      <w:pPr>
        <w:pStyle w:val="rFootn"/>
      </w:pPr>
      <w:r>
        <w:rPr>
          <w:rStyle w:val="rFootnRef"/>
        </w:rPr>
        <w:footnoteRef/>
      </w:r>
      <w:r>
        <w:t xml:space="preserve"> From Exod. 32:6</w:t>
      </w:r>
    </w:p>
  </w:footnote>
  <w:footnote w:id="28415">
    <w:p>
      <w:pPr>
        <w:pStyle w:val="rFootn"/>
      </w:pPr>
      <w:r>
        <w:rPr>
          <w:rStyle w:val="rFootnRef"/>
        </w:rPr>
        <w:footnoteRef/>
      </w:r>
      <w:r>
        <w:t xml:space="preserve"> From Ps. 24:1</w:t>
      </w:r>
    </w:p>
  </w:footnote>
  <w:footnote w:id="30303">
    <w:p>
      <w:pPr>
        <w:pStyle w:val="rFootn"/>
      </w:pPr>
      <w:r>
        <w:rPr>
          <w:rStyle w:val="rFootnRef"/>
        </w:rPr>
        <w:footnoteRef/>
      </w:r>
      <w:r>
        <w:t xml:space="preserve"> Lit. “the Anointed One”</w:t>
      </w:r>
    </w:p>
  </w:footnote>
  <w:footnote w:id="23518">
    <w:p>
      <w:pPr>
        <w:pStyle w:val="rFootn"/>
      </w:pPr>
      <w:r>
        <w:rPr>
          <w:rStyle w:val="rFootnRef"/>
        </w:rPr>
        <w:footnoteRef/>
      </w:r>
      <w:r>
        <w:t xml:space="preserve"> 1 Cor. 11:1 is actually the last verse of chapter ten.</w:t>
      </w:r>
    </w:p>
  </w:footnote>
  <w:footnote w:id="11462">
    <w:p>
      <w:pPr>
        <w:pStyle w:val="rFootn"/>
      </w:pPr>
      <w:r>
        <w:rPr>
          <w:rStyle w:val="rFootnRef"/>
        </w:rPr>
        <w:footnoteRef/>
      </w:r>
      <w:r>
        <w:t xml:space="preserve"> Lit. “the Anointed One”</w:t>
      </w:r>
    </w:p>
  </w:footnote>
  <w:footnote w:id="12585">
    <w:p>
      <w:pPr>
        <w:pStyle w:val="rFootn"/>
      </w:pPr>
      <w:r>
        <w:rPr>
          <w:rStyle w:val="rFootnRef"/>
        </w:rPr>
        <w:footnoteRef/>
      </w:r>
      <w:r>
        <w:t xml:space="preserve"> Or “people”</w:t>
      </w:r>
    </w:p>
  </w:footnote>
  <w:footnote w:id="16095">
    <w:p>
      <w:pPr>
        <w:pStyle w:val="rFootn"/>
      </w:pPr>
      <w:r>
        <w:rPr>
          <w:rStyle w:val="rFootnRef"/>
        </w:rPr>
        <w:footnoteRef/>
      </w:r>
      <w:r>
        <w:t xml:space="preserve"> “Spirits” here refers to an utterance spoken by the power of holy spirit.</w:t>
      </w:r>
    </w:p>
  </w:footnote>
  <w:footnote w:id="29935">
    <w:p>
      <w:pPr>
        <w:pStyle w:val="rFootn"/>
      </w:pPr>
      <w:r>
        <w:rPr>
          <w:rStyle w:val="rFootnRef"/>
        </w:rPr>
        <w:footnoteRef/>
      </w:r>
      <w:r>
        <w:t xml:space="preserve"> From Isa. 28:11-12</w:t>
      </w:r>
    </w:p>
  </w:footnote>
  <w:footnote w:id="15498">
    <w:p>
      <w:pPr>
        <w:pStyle w:val="rFootn"/>
      </w:pPr>
      <w:r>
        <w:rPr>
          <w:rStyle w:val="rFootnRef"/>
        </w:rPr>
        <w:footnoteRef/>
      </w:r>
      <w:r>
        <w:t xml:space="preserve"> “Spirits” here refers to an utterance spoken by the power of holy spirit.</w:t>
      </w:r>
    </w:p>
  </w:footnote>
  <w:footnote w:id="18036">
    <w:p>
      <w:pPr>
        <w:pStyle w:val="rFootn"/>
      </w:pPr>
      <w:r>
        <w:rPr>
          <w:rStyle w:val="rFootnRef"/>
        </w:rPr>
        <w:footnoteRef/>
      </w:r>
      <w:r>
        <w:t xml:space="preserve"> Lit. “the Anointed One”</w:t>
      </w:r>
    </w:p>
  </w:footnote>
  <w:footnote w:id="27077">
    <w:p>
      <w:pPr>
        <w:pStyle w:val="rFootn"/>
      </w:pPr>
      <w:r>
        <w:rPr>
          <w:rStyle w:val="rFootnRef"/>
        </w:rPr>
        <w:footnoteRef/>
      </w:r>
      <w:r>
        <w:t xml:space="preserve"> From Ps. 8:6</w:t>
      </w:r>
    </w:p>
  </w:footnote>
  <w:footnote w:id="12940">
    <w:p>
      <w:pPr>
        <w:pStyle w:val="rFootn"/>
      </w:pPr>
      <w:r>
        <w:rPr>
          <w:rStyle w:val="rFootnRef"/>
        </w:rPr>
        <w:footnoteRef/>
      </w:r>
      <w:r>
        <w:t xml:space="preserve"> From Isa. 22:13</w:t>
      </w:r>
    </w:p>
  </w:footnote>
  <w:footnote w:id="25565">
    <w:p>
      <w:pPr>
        <w:pStyle w:val="rFootn"/>
      </w:pPr>
      <w:r>
        <w:rPr>
          <w:rStyle w:val="rFootnRef"/>
        </w:rPr>
        <w:footnoteRef/>
      </w:r>
      <w:r>
        <w:t xml:space="preserve"> An exact quote from the play Thais, by Menander (342-291 BC), but likely widely used by Paul’s time.</w:t>
      </w:r>
    </w:p>
  </w:footnote>
  <w:footnote w:id="18209">
    <w:p>
      <w:pPr>
        <w:pStyle w:val="rFootn"/>
      </w:pPr>
      <w:r>
        <w:rPr>
          <w:rStyle w:val="rFootnRef"/>
        </w:rPr>
        <w:footnoteRef/>
      </w:r>
      <w:r>
        <w:t xml:space="preserve"> From Gen. 2:7</w:t>
      </w:r>
    </w:p>
  </w:footnote>
  <w:footnote w:id="18396">
    <w:p>
      <w:pPr>
        <w:pStyle w:val="rFootn"/>
      </w:pPr>
      <w:r>
        <w:rPr>
          <w:rStyle w:val="rFootnRef"/>
        </w:rPr>
        <w:footnoteRef/>
      </w:r>
      <w:r>
        <w:t xml:space="preserve"> From Isa. 25:8</w:t>
      </w:r>
    </w:p>
  </w:footnote>
  <w:footnote w:id="32749">
    <w:p>
      <w:pPr>
        <w:pStyle w:val="rFootn"/>
      </w:pPr>
      <w:r>
        <w:rPr>
          <w:rStyle w:val="rFootnRef"/>
        </w:rPr>
        <w:footnoteRef/>
      </w:r>
      <w:r>
        <w:t xml:space="preserve"> From Hos. 13:14</w:t>
      </w:r>
    </w:p>
  </w:footnote>
  <w:footnote w:id="12872">
    <w:p>
      <w:pPr>
        <w:pStyle w:val="rFootn"/>
      </w:pPr>
      <w:r>
        <w:rPr>
          <w:rStyle w:val="rFootnRef"/>
        </w:rPr>
        <w:footnoteRef/>
      </w:r>
      <w:r>
        <w:t xml:space="preserve"> “Faith” refers to the Christian Faith.</w:t>
      </w:r>
    </w:p>
  </w:footnote>
  <w:footnote w:id="23012">
    <w:p>
      <w:pPr>
        <w:pStyle w:val="rFootn"/>
      </w:pPr>
      <w:r>
        <w:rPr>
          <w:rStyle w:val="rFootnRef"/>
        </w:rPr>
        <w:footnoteRef/>
      </w:r>
      <w:r>
        <w:t xml:space="preserve"> Lit. “act like a man”; an idiom</w:t>
      </w:r>
    </w:p>
  </w:footnote>
  <w:footnote w:id="11119">
    <w:p>
      <w:pPr>
        <w:pStyle w:val="rFootn"/>
      </w:pPr>
      <w:r>
        <w:rPr>
          <w:rStyle w:val="rFootnRef"/>
        </w:rPr>
        <w:footnoteRef/>
      </w:r>
      <w:r>
        <w:t xml:space="preserve"> An Aramaic liturgical formula that was transliterated into Greek as </w:t>
      </w:r>
      <w:r>
        <w:rPr>
          <w:i/>
        </w:rPr>
        <w:t xml:space="preserve">marana tha</w:t>
      </w:r>
      <w:r>
        <w:t xml:space="preserve">.</w:t>
      </w:r>
    </w:p>
  </w:footnote>
  <w:footnote w:id="18705">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742878">
    <w:multiLevelType w:val="hybridMultilevel"/>
    <w:lvl w:ilvl="0" w:tplc="14790242">
      <w:start w:val="1"/>
      <w:numFmt w:val="decimal"/>
      <w:lvlText w:val="%1."/>
      <w:lvlJc w:val="left"/>
      <w:pPr>
        <w:ind w:left="720" w:hanging="360"/>
      </w:pPr>
    </w:lvl>
    <w:lvl w:ilvl="1" w:tplc="14790242" w:tentative="1">
      <w:start w:val="1"/>
      <w:numFmt w:val="lowerLetter"/>
      <w:lvlText w:val="%2."/>
      <w:lvlJc w:val="left"/>
      <w:pPr>
        <w:ind w:left="1440" w:hanging="360"/>
      </w:pPr>
    </w:lvl>
    <w:lvl w:ilvl="2" w:tplc="14790242" w:tentative="1">
      <w:start w:val="1"/>
      <w:numFmt w:val="lowerRoman"/>
      <w:lvlText w:val="%3."/>
      <w:lvlJc w:val="right"/>
      <w:pPr>
        <w:ind w:left="2160" w:hanging="180"/>
      </w:pPr>
    </w:lvl>
    <w:lvl w:ilvl="3" w:tplc="14790242" w:tentative="1">
      <w:start w:val="1"/>
      <w:numFmt w:val="decimal"/>
      <w:lvlText w:val="%4."/>
      <w:lvlJc w:val="left"/>
      <w:pPr>
        <w:ind w:left="2880" w:hanging="360"/>
      </w:pPr>
    </w:lvl>
    <w:lvl w:ilvl="4" w:tplc="14790242" w:tentative="1">
      <w:start w:val="1"/>
      <w:numFmt w:val="lowerLetter"/>
      <w:lvlText w:val="%5."/>
      <w:lvlJc w:val="left"/>
      <w:pPr>
        <w:ind w:left="3600" w:hanging="360"/>
      </w:pPr>
    </w:lvl>
    <w:lvl w:ilvl="5" w:tplc="14790242" w:tentative="1">
      <w:start w:val="1"/>
      <w:numFmt w:val="lowerRoman"/>
      <w:lvlText w:val="%6."/>
      <w:lvlJc w:val="right"/>
      <w:pPr>
        <w:ind w:left="4320" w:hanging="180"/>
      </w:pPr>
    </w:lvl>
    <w:lvl w:ilvl="6" w:tplc="14790242" w:tentative="1">
      <w:start w:val="1"/>
      <w:numFmt w:val="decimal"/>
      <w:lvlText w:val="%7."/>
      <w:lvlJc w:val="left"/>
      <w:pPr>
        <w:ind w:left="5040" w:hanging="360"/>
      </w:pPr>
    </w:lvl>
    <w:lvl w:ilvl="7" w:tplc="14790242" w:tentative="1">
      <w:start w:val="1"/>
      <w:numFmt w:val="lowerLetter"/>
      <w:lvlText w:val="%8."/>
      <w:lvlJc w:val="left"/>
      <w:pPr>
        <w:ind w:left="5760" w:hanging="360"/>
      </w:pPr>
    </w:lvl>
    <w:lvl w:ilvl="8" w:tplc="14790242" w:tentative="1">
      <w:start w:val="1"/>
      <w:numFmt w:val="lowerRoman"/>
      <w:lvlText w:val="%9."/>
      <w:lvlJc w:val="right"/>
      <w:pPr>
        <w:ind w:left="6480" w:hanging="180"/>
      </w:pPr>
    </w:lvl>
  </w:abstractNum>
  <w:abstractNum w:abstractNumId="9498">
    <w:multiLevelType w:val="hybridMultilevel"/>
    <w:lvl w:ilvl="0" w:tplc="627040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498">
    <w:abstractNumId w:val="9498"/>
  </w:num>
  <w:num w:numId="66742878">
    <w:abstractNumId w:val="667428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2682361" Type="http://schemas.openxmlformats.org/officeDocument/2006/relationships/numbering" Target="numbering.xml"/><Relationship Id="rId605229970" Type="http://schemas.openxmlformats.org/officeDocument/2006/relationships/comments" Target="comments.xml"/><Relationship Id="rId592867bb2e3f80c2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