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rFootnRef"/>
        </w:rPr>
        <w:footnoteReference w:id="19314"/>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abominable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pleasant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rFootnRef"/>
        </w:rPr>
        <w:footnoteReference w:id="28159"/>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even under the cherubim, and fill both your hands with burning coals from between the cherubim and scatter them over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rFootnRef"/>
        </w:rPr>
        <w:footnoteReference w:id="32696"/>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pleasant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slain my children and gave them up by causing them to pass through </w:t>
      </w:r>
      <w:r>
        <w:rPr>
          <w:i/>
          <w:iCs/>
        </w:rPr>
        <w:t xml:space="preserve">the fire</w:t>
      </w:r>
      <w:r>
        <w:rPr/>
        <w:t xml:space="preserve"> to them?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rFootnRef"/>
        </w:rPr>
        <w:footnoteReference w:id="27234"/>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rFootnRef"/>
        </w:rPr>
        <w:footnoteReference w:id="27633"/>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rFootnRef"/>
              </w:rPr>
              <w:footnoteReference w:id="29003"/>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rFootnRef"/>
        </w:rPr>
        <w:footnoteReference w:id="29944"/>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pleasant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pleasant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rFootnRef"/>
        </w:rPr>
        <w:footnoteReference w:id="30932"/>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rFootnRef"/>
        </w:rPr>
        <w:footnoteReference w:id="17631"/>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rFootnRef"/>
              </w:rPr>
              <w:footnoteReference w:id="28716"/>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rFootnRef"/>
              </w:rPr>
              <w:footnoteReference w:id="26364"/>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rFootnRef"/>
        </w:rPr>
        <w:footnoteReference w:id="31544"/>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rFootnRef"/>
        </w:rPr>
        <w:footnoteReference w:id="10796"/>
      </w:r>
      <w:r>
        <w:rPr/>
        <w:t xml:space="preserve"> And in the man’s hand was a measuring reed six cubits long,</w:t>
      </w:r>
      <w:r>
        <w:rPr>
          <w:rStyle w:val="rFootnRef"/>
        </w:rPr>
        <w:footnoteReference w:id="22672"/>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rFootnRef"/>
        </w:rPr>
        <w:footnoteReference w:id="11794"/>
      </w:r>
      <w:r>
        <w:rPr/>
        <w:t xml:space="preserve"> and the other threshold, one reed deep. </w:t>
      </w:r>
      <w:r>
        <w:rPr>
          <w:rStyle w:val="rSupStyle"/>
          <w:vertAlign w:val="superscript"/>
        </w:rPr>
        <w:t xml:space="preserve">7</w:t>
      </w:r>
      <w:r>
        <w:rPr/>
        <w:t xml:space="preserve">And every side room was one reed long</w:t>
      </w:r>
      <w:r>
        <w:rPr>
          <w:rStyle w:val="rFootnRef"/>
        </w:rPr>
        <w:footnoteReference w:id="10844"/>
      </w:r>
      <w:r>
        <w:rPr/>
        <w:t xml:space="preserve"> and one reed wide, and the distance between the side rooms was five cubits,</w:t>
      </w:r>
      <w:r>
        <w:rPr>
          <w:rStyle w:val="rFootnRef"/>
        </w:rPr>
        <w:footnoteReference w:id="16113"/>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rFootnRef"/>
        </w:rPr>
        <w:footnoteReference w:id="18130"/>
      </w:r>
      <w:r>
        <w:rPr/>
        <w:t xml:space="preserve"> and its jambs were two cubits;</w:t>
      </w:r>
      <w:r>
        <w:rPr>
          <w:rStyle w:val="rFootnRef"/>
        </w:rPr>
        <w:footnoteReference w:id="21554"/>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rFootnRef"/>
        </w:rPr>
        <w:footnoteReference w:id="22360"/>
      </w:r>
      <w:r>
        <w:rPr/>
        <w:t xml:space="preserve"> and the </w:t>
      </w:r>
      <w:r>
        <w:rPr>
          <w:i/>
          <w:iCs/>
        </w:rPr>
        <w:t xml:space="preserve">total</w:t>
      </w:r>
      <w:r>
        <w:rPr/>
        <w:t xml:space="preserve"> width of the gate, 13 cubits;</w:t>
      </w:r>
      <w:r>
        <w:rPr>
          <w:rStyle w:val="rFootnRef"/>
        </w:rPr>
        <w:footnoteReference w:id="17785"/>
      </w:r>
      <w:r>
        <w:rPr/>
        <w:t xml:space="preserve"> </w:t>
      </w:r>
      <w:r>
        <w:rPr>
          <w:rStyle w:val="rSupStyle"/>
          <w:vertAlign w:val="superscript"/>
        </w:rPr>
        <w:t xml:space="preserve">12</w:t>
      </w:r>
      <w:r>
        <w:rPr/>
        <w:t xml:space="preserve">and there was a border in front of the rooms, one cubit on this side,</w:t>
      </w:r>
      <w:r>
        <w:rPr>
          <w:rStyle w:val="rFootnRef"/>
        </w:rPr>
        <w:footnoteReference w:id="20025"/>
      </w:r>
      <w:r>
        <w:rPr/>
        <w:t xml:space="preserve"> and a border of one cubit on that side, and the rooms were six cubits on this side</w:t>
      </w:r>
      <w:r>
        <w:rPr>
          <w:rStyle w:val="rFootnRef"/>
        </w:rPr>
        <w:footnoteReference w:id="28113"/>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rFootnRef"/>
        </w:rPr>
        <w:footnoteReference w:id="28910"/>
      </w:r>
      <w:r>
        <w:rPr/>
        <w:t xml:space="preserve"> doorway facing doorway. </w:t>
      </w:r>
      <w:r>
        <w:rPr>
          <w:rStyle w:val="rSupStyle"/>
          <w:vertAlign w:val="superscript"/>
        </w:rPr>
        <w:t xml:space="preserve">14</w:t>
      </w:r>
      <w:r>
        <w:rPr/>
        <w:t xml:space="preserve">He also measured the vestibule, 60 cubits.</w:t>
      </w:r>
      <w:r>
        <w:rPr>
          <w:rStyle w:val="rFootnRef"/>
        </w:rPr>
        <w:footnoteReference w:id="25043"/>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rFootnRef"/>
        </w:rPr>
        <w:footnoteReference w:id="17816"/>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rFootnRef"/>
        </w:rPr>
        <w:footnoteReference w:id="28844"/>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rFootnRef"/>
        </w:rPr>
        <w:footnoteReference w:id="20386"/>
      </w:r>
      <w:r>
        <w:rPr/>
        <w:t xml:space="preserve"> and its width 25 cubits.</w:t>
      </w:r>
      <w:r>
        <w:rPr>
          <w:rStyle w:val="rFootnRef"/>
        </w:rPr>
        <w:footnoteReference w:id="17514"/>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rFootnRef"/>
        </w:rPr>
        <w:footnoteReference w:id="20084"/>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rFootnRef"/>
        </w:rPr>
        <w:footnoteReference w:id="31138"/>
      </w:r>
      <w:r>
        <w:rPr/>
        <w:t xml:space="preserve"> and the width 25 cubits.</w:t>
      </w:r>
      <w:r>
        <w:rPr>
          <w:rStyle w:val="rFootnRef"/>
        </w:rPr>
        <w:footnoteReference w:id="30835"/>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rFootnRef"/>
        </w:rPr>
        <w:footnoteReference w:id="29681"/>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rFootnRef"/>
        </w:rPr>
        <w:footnoteReference w:id="27536"/>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27382"/>
      </w:r>
      <w:r>
        <w:rPr/>
        <w:t xml:space="preserve"> and 25 cubits wide.</w:t>
      </w:r>
      <w:r>
        <w:rPr>
          <w:rStyle w:val="rFootnRef"/>
        </w:rPr>
        <w:footnoteReference w:id="21266"/>
      </w:r>
      <w:r>
        <w:rPr/>
        <w:t xml:space="preserve"> </w:t>
      </w:r>
      <w:r>
        <w:rPr>
          <w:rStyle w:val="rSupStyle"/>
          <w:vertAlign w:val="superscript"/>
        </w:rPr>
        <w:t xml:space="preserve">30</w:t>
      </w:r>
      <w:r>
        <w:rPr/>
        <w:t xml:space="preserve">The vestibules all around were 25 cubits long</w:t>
      </w:r>
      <w:r>
        <w:rPr>
          <w:rStyle w:val="rFootnRef"/>
        </w:rPr>
        <w:footnoteReference w:id="28593"/>
      </w:r>
      <w:r>
        <w:rPr/>
        <w:t xml:space="preserve"> and 5 cubits wide.</w:t>
      </w:r>
      <w:r>
        <w:rPr>
          <w:rStyle w:val="rFootnRef"/>
        </w:rPr>
        <w:footnoteReference w:id="17797"/>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11788"/>
      </w:r>
      <w:r>
        <w:rPr/>
        <w:t xml:space="preserve"> and 25 cubits wide.</w:t>
      </w:r>
      <w:r>
        <w:rPr>
          <w:rStyle w:val="rFootnRef"/>
        </w:rPr>
        <w:footnoteReference w:id="21596"/>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rFootnRef"/>
        </w:rPr>
        <w:footnoteReference w:id="20143"/>
      </w:r>
      <w:r>
        <w:rPr/>
        <w:t xml:space="preserve"> and 25 cubits wide.</w:t>
      </w:r>
      <w:r>
        <w:rPr>
          <w:rStyle w:val="rFootnRef"/>
        </w:rPr>
        <w:footnoteReference w:id="29162"/>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trespass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rFootnRef"/>
        </w:rPr>
        <w:footnoteReference w:id="31605"/>
      </w:r>
      <w:r>
        <w:rPr/>
        <w:t xml:space="preserve"> and one cubit high,</w:t>
      </w:r>
      <w:r>
        <w:rPr>
          <w:rStyle w:val="rFootnRef"/>
        </w:rPr>
        <w:footnoteReference w:id="20083"/>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rFootnRef"/>
        </w:rPr>
        <w:footnoteReference w:id="31798"/>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rFootnRef"/>
        </w:rPr>
        <w:footnoteReference w:id="12907"/>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rFootnRef"/>
        </w:rPr>
        <w:footnoteReference w:id="11717"/>
      </w:r>
      <w:r>
        <w:rPr/>
        <w:t xml:space="preserve"> And the width of the gate was 14 cubits,</w:t>
      </w:r>
      <w:r>
        <w:rPr>
          <w:rStyle w:val="rFootnRef"/>
        </w:rPr>
        <w:footnoteReference w:id="25038"/>
      </w:r>
      <w:r>
        <w:rPr/>
        <w:t xml:space="preserve"> and the sidewalls were three cubits on this side and three cubits on that side.</w:t>
      </w:r>
      <w:r>
        <w:rPr>
          <w:rStyle w:val="rFootnRef"/>
        </w:rPr>
        <w:footnoteReference w:id="12773"/>
      </w:r>
      <w:r>
        <w:rPr/>
        <w:t xml:space="preserve"> </w:t>
      </w:r>
      <w:r>
        <w:rPr>
          <w:rStyle w:val="rSupStyle"/>
          <w:vertAlign w:val="superscript"/>
        </w:rPr>
        <w:t xml:space="preserve">49</w:t>
      </w:r>
      <w:r>
        <w:rPr/>
        <w:t xml:space="preserve">The vestibule was 20 cubits</w:t>
      </w:r>
      <w:r>
        <w:rPr>
          <w:rStyle w:val="rFootnRef"/>
        </w:rPr>
        <w:footnoteReference w:id="30672"/>
      </w:r>
      <w:r>
        <w:rPr/>
        <w:t xml:space="preserve"> wide and 12 cubits deep.</w:t>
      </w:r>
      <w:r>
        <w:rPr>
          <w:rStyle w:val="rFootnRef"/>
        </w:rPr>
        <w:footnoteReference w:id="30193"/>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rFootnRef"/>
        </w:rPr>
        <w:footnoteReference w:id="10185"/>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rFootnRef"/>
        </w:rPr>
        <w:footnoteReference w:id="21127"/>
      </w:r>
      <w:r>
        <w:rPr/>
        <w:t xml:space="preserve"> and the sides of the entrance were five cubits</w:t>
      </w:r>
      <w:r>
        <w:rPr>
          <w:rStyle w:val="rFootnRef"/>
        </w:rPr>
        <w:footnoteReference w:id="16555"/>
      </w:r>
      <w:r>
        <w:rPr/>
        <w:t xml:space="preserve"> on the one side and five cubits on the other side. Then he measured the length of the Holy Place, 40 cubits,</w:t>
      </w:r>
      <w:r>
        <w:rPr>
          <w:rStyle w:val="rFootnRef"/>
        </w:rPr>
        <w:footnoteReference w:id="13755"/>
      </w:r>
      <w:r>
        <w:rPr/>
        <w:t xml:space="preserve"> and the width, 20 cubits.</w:t>
      </w:r>
      <w:r>
        <w:rPr>
          <w:rStyle w:val="rFootnRef"/>
        </w:rPr>
        <w:footnoteReference w:id="25637"/>
      </w:r>
      <w:r>
        <w:rPr/>
        <w:t xml:space="preserve"> </w:t>
      </w:r>
      <w:r>
        <w:rPr>
          <w:rStyle w:val="rSupStyle"/>
          <w:vertAlign w:val="superscript"/>
        </w:rPr>
        <w:t xml:space="preserve">3</w:t>
      </w:r>
      <w:r>
        <w:rPr/>
        <w:t xml:space="preserve">Then he went into the inner room and measured the jambs of the entrance, two cubits;</w:t>
      </w:r>
      <w:r>
        <w:rPr>
          <w:rStyle w:val="rFootnRef"/>
        </w:rPr>
        <w:footnoteReference w:id="20010"/>
      </w:r>
      <w:r>
        <w:rPr/>
        <w:t xml:space="preserve"> and the entrance, six cubits;</w:t>
      </w:r>
      <w:r>
        <w:rPr>
          <w:rStyle w:val="rFootnRef"/>
        </w:rPr>
        <w:footnoteReference w:id="12144"/>
      </w:r>
      <w:r>
        <w:rPr/>
        <w:t xml:space="preserve"> and the sidewalls on each side of the entrance, seven cubits.</w:t>
      </w:r>
      <w:r>
        <w:rPr>
          <w:rStyle w:val="rFootnRef"/>
        </w:rPr>
        <w:footnoteReference w:id="18634"/>
      </w:r>
      <w:r>
        <w:rPr/>
        <w:t xml:space="preserve"> </w:t>
      </w:r>
      <w:r>
        <w:rPr>
          <w:rStyle w:val="rSupStyle"/>
          <w:vertAlign w:val="superscript"/>
        </w:rPr>
        <w:t xml:space="preserve">4</w:t>
      </w:r>
      <w:r>
        <w:rPr/>
        <w:t xml:space="preserve">Then he measured its depth, 20 cubits,</w:t>
      </w:r>
      <w:r>
        <w:rPr>
          <w:rStyle w:val="rFootnRef"/>
        </w:rPr>
        <w:footnoteReference w:id="22886"/>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rFootnRef"/>
        </w:rPr>
        <w:footnoteReference w:id="14314"/>
      </w:r>
      <w:r>
        <w:rPr/>
        <w:t xml:space="preserve"> and the width of every side room, all around the house on every side, four cubits.</w:t>
      </w:r>
      <w:r>
        <w:rPr>
          <w:rStyle w:val="rFootnRef"/>
        </w:rPr>
        <w:footnoteReference w:id="10534"/>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rFootnRef"/>
        </w:rPr>
        <w:footnoteReference w:id="26799"/>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rFootnRef"/>
        </w:rPr>
        <w:footnoteReference w:id="19362"/>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rFootnRef"/>
        </w:rPr>
        <w:footnoteReference w:id="27282"/>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rFootnRef"/>
        </w:rPr>
        <w:footnoteReference w:id="32209"/>
      </w:r>
      <w:r>
        <w:rPr/>
        <w:t xml:space="preserve"> and the wall of the building was five cubits</w:t>
      </w:r>
      <w:r>
        <w:rPr>
          <w:rStyle w:val="rFootnRef"/>
        </w:rPr>
        <w:footnoteReference w:id="23268"/>
      </w:r>
      <w:r>
        <w:rPr/>
        <w:t xml:space="preserve"> thick all around, and its length 90 cubits.</w:t>
      </w:r>
      <w:r>
        <w:rPr>
          <w:rStyle w:val="rFootnRef"/>
        </w:rPr>
        <w:footnoteReference w:id="10129"/>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rFootnRef"/>
        </w:rPr>
        <w:footnoteReference w:id="29867"/>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rFootnRef"/>
        </w:rPr>
        <w:footnoteReference w:id="21692"/>
      </w:r>
      <w:r>
        <w:rPr/>
        <w:t xml:space="preserve"> and two cubits long;</w:t>
      </w:r>
      <w:r>
        <w:rPr>
          <w:rStyle w:val="rFootnRef"/>
        </w:rPr>
        <w:footnoteReference w:id="11964"/>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rFootnRef"/>
        </w:rPr>
        <w:footnoteReference w:id="15128"/>
      </w:r>
      <w:r>
        <w:rPr/>
        <w:t xml:space="preserve"> and its width was 50 cubits.</w:t>
      </w:r>
      <w:r>
        <w:rPr>
          <w:rStyle w:val="rFootnRef"/>
        </w:rPr>
        <w:footnoteReference w:id="27710"/>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rFootnRef"/>
        </w:rPr>
        <w:footnoteReference w:id="22787"/>
      </w:r>
      <w:r>
        <w:rPr/>
        <w:t xml:space="preserve"> a walkway one </w:t>
      </w:r>
      <w:r>
        <w:rPr>
          <w:i/>
          <w:iCs/>
        </w:rPr>
        <w:t xml:space="preserve">hundred</w:t>
      </w:r>
      <w:r>
        <w:rPr/>
        <w:t xml:space="preserve"> cubits </w:t>
      </w:r>
      <w:r>
        <w:rPr>
          <w:i/>
          <w:iCs/>
        </w:rPr>
        <w:t xml:space="preserve">long</w:t>
      </w:r>
      <w:r>
        <w:rPr/>
        <w:t xml:space="preserve">,</w:t>
      </w:r>
      <w:r>
        <w:rPr>
          <w:rStyle w:val="rFootnRef"/>
        </w:rPr>
        <w:footnoteReference w:id="13588"/>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rFootnRef"/>
        </w:rPr>
        <w:footnoteReference w:id="28978"/>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rFootnRef"/>
        </w:rPr>
        <w:footnoteReference w:id="25211"/>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trespass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rFootnRef"/>
              </w:rPr>
              <w:footnoteReference w:id="27420"/>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rFootnRef"/>
        </w:rPr>
        <w:footnoteReference w:id="18755"/>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rFootnRef"/>
        </w:rPr>
        <w:footnoteReference w:id="17793"/>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rFootnRef"/>
        </w:rPr>
        <w:footnoteReference w:id="29472"/>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rFootnRef"/>
        </w:rPr>
        <w:footnoteReference w:id="18028"/>
      </w:r>
      <w:r>
        <w:rPr/>
        <w:t xml:space="preserve"> and the width one cubit;</w:t>
      </w:r>
      <w:r>
        <w:rPr>
          <w:rStyle w:val="rFootnRef"/>
        </w:rPr>
        <w:footnoteReference w:id="21779"/>
      </w:r>
      <w:r>
        <w:rPr/>
        <w:t xml:space="preserve"> and from the lesser ledge to the greater ledge is to be four cubits,</w:t>
      </w:r>
      <w:r>
        <w:rPr>
          <w:rStyle w:val="rFootnRef"/>
        </w:rPr>
        <w:footnoteReference w:id="24263"/>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rFootnRef"/>
        </w:rPr>
        <w:footnoteReference w:id="19508"/>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rFootnRef"/>
        </w:rPr>
        <w:footnoteReference w:id="15257"/>
      </w:r>
      <w:r>
        <w:rPr/>
        <w:t xml:space="preserve"> square in the four sides of it. </w:t>
      </w:r>
      <w:r>
        <w:rPr>
          <w:rStyle w:val="rSupStyle"/>
          <w:vertAlign w:val="superscript"/>
        </w:rPr>
        <w:t xml:space="preserve">17</w:t>
      </w:r>
      <w:r>
        <w:rPr/>
        <w:t xml:space="preserve">The ledge is to be 14 cubits long by 14 wide in the four sides of it,</w:t>
      </w:r>
      <w:r>
        <w:rPr>
          <w:rStyle w:val="rFootnRef"/>
        </w:rPr>
        <w:footnoteReference w:id="31337"/>
      </w:r>
      <w:r>
        <w:rPr/>
        <w:t xml:space="preserve"> and the border around it is to be half a cubit;</w:t>
      </w:r>
      <w:r>
        <w:rPr>
          <w:rStyle w:val="rFootnRef"/>
        </w:rPr>
        <w:footnoteReference w:id="16936"/>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sprinkle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kill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even into the outer court to the people, they must take off their garments in which they have been ministering, and place them in the holy rooms; and they must put on other garments, so that they do not transmit holiness to the people by means of their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trespass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rFootnRef"/>
        </w:rPr>
        <w:footnoteReference w:id="28566"/>
      </w:r>
      <w:r>
        <w:rPr/>
        <w:t xml:space="preserve"> and 50 cubits</w:t>
      </w:r>
      <w:r>
        <w:rPr>
          <w:rStyle w:val="rFootnRef"/>
        </w:rPr>
        <w:footnoteReference w:id="19902"/>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rFootnRef"/>
        </w:rPr>
        <w:footnoteReference w:id="15605"/>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trespass offering and the sin offering, and where they will bake the grain offering so that they do not bring them into the outer court and transmit holiness to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rFootnRef"/>
        </w:rPr>
        <w:footnoteReference w:id="12759"/>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rFootnRef"/>
        </w:rPr>
        <w:footnoteReference w:id="13299"/>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rFootnRef"/>
        </w:rPr>
        <w:footnoteReference w:id="24285"/>
      </w:r>
      <w:r>
        <w:rPr/>
        <w:t xml:space="preserve"> and 10,000 in width.</w:t>
      </w:r>
      <w:r>
        <w:rPr>
          <w:rStyle w:val="rFootnRef"/>
        </w:rPr>
        <w:footnoteReference w:id="23590"/>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rFootnRef"/>
        </w:rPr>
        <w:footnoteReference w:id="31835"/>
      </w:r>
      <w:r>
        <w:rPr/>
        <w:t xml:space="preserve"> and 10,000 in width;</w:t>
      </w:r>
      <w:r>
        <w:rPr>
          <w:rStyle w:val="rFootnRef"/>
        </w:rPr>
        <w:footnoteReference w:id="27528"/>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rFootnRef"/>
        </w:rPr>
        <w:footnoteReference w:id="10494"/>
      </w:r>
      <w:r>
        <w:rPr/>
        <w:t xml:space="preserve"> and 25,000 in length,</w:t>
      </w:r>
      <w:r>
        <w:rPr>
          <w:rStyle w:val="rFootnRef"/>
        </w:rPr>
        <w:footnoteReference w:id="11561"/>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rFootnRef"/>
              </w:rPr>
              <w:footnoteReference w:id="30753"/>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rFootnRef"/>
              </w:rPr>
              <w:footnoteReference w:id="25474"/>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rFootnRef"/>
        </w:rPr>
        <w:footnoteReference w:id="31218"/>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rFootnRef"/>
        </w:rPr>
        <w:footnoteReference w:id="14620"/>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rFootnRef"/>
              </w:rPr>
              <w:footnoteReference w:id="24313"/>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696367bb2e22ea2a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195906"/>
      <w:docPartObj>
        <w:docPartGallery w:val="Page Numbers (Bottom of Page)"/>
        <w:docPartUnique/>
      </w:docPartObj>
    </w:sdtPr>
    <w:sdtContent>
      <w:sdt>
        <w:sdtPr>
          <w:id w:val="8848271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314">
    <w:p>
      <w:pPr>
        <w:pStyle w:val="rFootn"/>
      </w:pPr>
      <w:r>
        <w:rPr>
          <w:rStyle w:val="rFootnRef"/>
        </w:rPr>
        <w:footnoteRef/>
      </w:r>
      <w:r>
        <w:t xml:space="preserve"> Roughly 8 ounces (226.8 grams)</w:t>
      </w:r>
    </w:p>
  </w:footnote>
  <w:footnote w:id="28159">
    <w:p>
      <w:pPr>
        <w:pStyle w:val="rFootn"/>
      </w:pPr>
      <w:r>
        <w:rPr>
          <w:rStyle w:val="rFootnRef"/>
        </w:rPr>
        <w:footnoteRef/>
      </w:r>
      <w:r>
        <w:t xml:space="preserve"> Or “valley”</w:t>
      </w:r>
    </w:p>
  </w:footnote>
  <w:footnote w:id="32696">
    <w:p>
      <w:pPr>
        <w:pStyle w:val="rFootn"/>
      </w:pPr>
      <w:r>
        <w:rPr>
          <w:rStyle w:val="rFootnRef"/>
        </w:rPr>
        <w:footnoteRef/>
      </w:r>
      <w:r>
        <w:t xml:space="preserve"> Traditionally “God Almighty”</w:t>
      </w:r>
    </w:p>
  </w:footnote>
  <w:footnote w:id="27234">
    <w:p>
      <w:pPr>
        <w:pStyle w:val="rFootn"/>
      </w:pPr>
      <w:r>
        <w:rPr>
          <w:rStyle w:val="rFootnRef"/>
        </w:rPr>
        <w:footnoteRef/>
      </w:r>
      <w:r>
        <w:t xml:space="preserve"> Lit. “rams”</w:t>
      </w:r>
    </w:p>
  </w:footnote>
  <w:footnote w:id="27633">
    <w:p>
      <w:pPr>
        <w:pStyle w:val="rFootn"/>
      </w:pPr>
      <w:r>
        <w:rPr>
          <w:rStyle w:val="rFootnRef"/>
        </w:rPr>
        <w:footnoteRef/>
      </w:r>
      <w:r>
        <w:t xml:space="preserve"> LXX. The Masoretic text reads, “has withdrawn his hand from the poor,” which does not fit the context.</w:t>
      </w:r>
    </w:p>
  </w:footnote>
  <w:footnote w:id="29003">
    <w:p>
      <w:pPr>
        <w:pStyle w:val="rFootn"/>
      </w:pPr>
      <w:r>
        <w:rPr>
          <w:rStyle w:val="rFootnRef"/>
        </w:rPr>
        <w:footnoteRef/>
      </w:r>
      <w:r>
        <w:t xml:space="preserve"> Heb. “in your blood”</w:t>
      </w:r>
    </w:p>
  </w:footnote>
  <w:footnote w:id="29944">
    <w:p>
      <w:pPr>
        <w:pStyle w:val="rFootn"/>
      </w:pPr>
      <w:r>
        <w:rPr>
          <w:rStyle w:val="rFootnRef"/>
        </w:rPr>
        <w:footnoteRef/>
      </w:r>
      <w:r>
        <w:t xml:space="preserve"> Lit. “them”</w:t>
      </w:r>
    </w:p>
  </w:footnote>
  <w:footnote w:id="30932">
    <w:p>
      <w:pPr>
        <w:pStyle w:val="rFootn"/>
      </w:pPr>
      <w:r>
        <w:rPr>
          <w:rStyle w:val="rFootnRef"/>
        </w:rPr>
        <w:footnoteRef/>
      </w:r>
      <w:r>
        <w:t xml:space="preserve"> From the Syriac and Latin</w:t>
      </w:r>
    </w:p>
  </w:footnote>
  <w:footnote w:id="17631">
    <w:p>
      <w:pPr>
        <w:pStyle w:val="rFootn"/>
      </w:pPr>
      <w:r>
        <w:rPr>
          <w:rStyle w:val="rFootnRef"/>
        </w:rPr>
        <w:footnoteRef/>
      </w:r>
      <w:r>
        <w:t xml:space="preserve"> Lit. “them”</w:t>
      </w:r>
    </w:p>
  </w:footnote>
  <w:footnote w:id="28716">
    <w:p>
      <w:pPr>
        <w:pStyle w:val="rFootn"/>
      </w:pPr>
      <w:r>
        <w:rPr>
          <w:rStyle w:val="rFootnRef"/>
        </w:rPr>
        <w:footnoteRef/>
      </w:r>
      <w:r>
        <w:t xml:space="preserve"> Lit. “Worthless Ones”</w:t>
      </w:r>
    </w:p>
  </w:footnote>
  <w:footnote w:id="26364">
    <w:p>
      <w:pPr>
        <w:pStyle w:val="rFootn"/>
      </w:pPr>
      <w:r>
        <w:rPr>
          <w:rStyle w:val="rFootnRef"/>
        </w:rPr>
        <w:footnoteRef/>
      </w:r>
      <w:r>
        <w:t xml:space="preserve"> Or “of the heavens”</w:t>
      </w:r>
    </w:p>
  </w:footnote>
  <w:footnote w:id="31544">
    <w:p>
      <w:pPr>
        <w:pStyle w:val="rFootn"/>
      </w:pPr>
      <w:r>
        <w:rPr>
          <w:rStyle w:val="rFootnRef"/>
        </w:rPr>
        <w:footnoteRef/>
      </w:r>
      <w:r>
        <w:t xml:space="preserve"> Lit. “have cut him off,” a prophetic perfect</w:t>
      </w:r>
    </w:p>
  </w:footnote>
  <w:footnote w:id="10796">
    <w:p>
      <w:pPr>
        <w:pStyle w:val="rFootn"/>
      </w:pPr>
      <w:r>
        <w:rPr>
          <w:rStyle w:val="rFootnRef"/>
        </w:rPr>
        <w:footnoteRef/>
      </w:r>
      <w:r>
        <w:t xml:space="preserve"> The “house” is the Temple.</w:t>
      </w:r>
    </w:p>
  </w:footnote>
  <w:footnote w:id="22672">
    <w:p>
      <w:pPr>
        <w:pStyle w:val="rFootn"/>
      </w:pPr>
      <w:r>
        <w:rPr>
          <w:rStyle w:val="rFootnRef"/>
        </w:rPr>
        <w:footnoteRef/>
      </w:r>
      <w:r>
        <w:t xml:space="preserve"> 10.5 feet (3.2 meters)</w:t>
      </w:r>
    </w:p>
  </w:footnote>
  <w:footnote w:id="11794">
    <w:p>
      <w:pPr>
        <w:pStyle w:val="rFootn"/>
      </w:pPr>
      <w:r>
        <w:rPr>
          <w:rStyle w:val="rFootnRef"/>
        </w:rPr>
        <w:footnoteRef/>
      </w:r>
      <w:r>
        <w:t xml:space="preserve"> 10.5 feet (3.2 meters)</w:t>
      </w:r>
    </w:p>
  </w:footnote>
  <w:footnote w:id="10844">
    <w:p>
      <w:pPr>
        <w:pStyle w:val="rFootn"/>
      </w:pPr>
      <w:r>
        <w:rPr>
          <w:rStyle w:val="rFootnRef"/>
        </w:rPr>
        <w:footnoteRef/>
      </w:r>
      <w:r>
        <w:t xml:space="preserve"> 10.5 feet (3.2 meters)</w:t>
      </w:r>
    </w:p>
  </w:footnote>
  <w:footnote w:id="16113">
    <w:p>
      <w:pPr>
        <w:pStyle w:val="rFootn"/>
      </w:pPr>
      <w:r>
        <w:rPr>
          <w:rStyle w:val="rFootnRef"/>
        </w:rPr>
        <w:footnoteRef/>
      </w:r>
      <w:r>
        <w:t xml:space="preserve"> 8.75 feet (2.7 meters)</w:t>
      </w:r>
    </w:p>
  </w:footnote>
  <w:footnote w:id="18130">
    <w:p>
      <w:pPr>
        <w:pStyle w:val="rFootn"/>
      </w:pPr>
      <w:r>
        <w:rPr>
          <w:rStyle w:val="rFootnRef"/>
        </w:rPr>
        <w:footnoteRef/>
      </w:r>
      <w:r>
        <w:t xml:space="preserve"> 14 feet (4.3 meters)</w:t>
      </w:r>
    </w:p>
  </w:footnote>
  <w:footnote w:id="21554">
    <w:p>
      <w:pPr>
        <w:pStyle w:val="rFootn"/>
      </w:pPr>
      <w:r>
        <w:rPr>
          <w:rStyle w:val="rFootnRef"/>
        </w:rPr>
        <w:footnoteRef/>
      </w:r>
      <w:r>
        <w:t xml:space="preserve"> 3.5 feet (1.1 meters)</w:t>
      </w:r>
    </w:p>
  </w:footnote>
  <w:footnote w:id="22360">
    <w:p>
      <w:pPr>
        <w:pStyle w:val="rFootn"/>
      </w:pPr>
      <w:r>
        <w:rPr>
          <w:rStyle w:val="rFootnRef"/>
        </w:rPr>
        <w:footnoteRef/>
      </w:r>
      <w:r>
        <w:t xml:space="preserve"> 17.5 feet (5.3 meters)</w:t>
      </w:r>
    </w:p>
  </w:footnote>
  <w:footnote w:id="17785">
    <w:p>
      <w:pPr>
        <w:pStyle w:val="rFootn"/>
      </w:pPr>
      <w:r>
        <w:rPr>
          <w:rStyle w:val="rFootnRef"/>
        </w:rPr>
        <w:footnoteRef/>
      </w:r>
      <w:r>
        <w:t xml:space="preserve"> 22.75 feet (6.9 meters)</w:t>
      </w:r>
    </w:p>
  </w:footnote>
  <w:footnote w:id="20025">
    <w:p>
      <w:pPr>
        <w:pStyle w:val="rFootn"/>
      </w:pPr>
      <w:r>
        <w:rPr>
          <w:rStyle w:val="rFootnRef"/>
        </w:rPr>
        <w:footnoteRef/>
      </w:r>
      <w:r>
        <w:t xml:space="preserve"> 21 inches (53 centimeters)</w:t>
      </w:r>
    </w:p>
  </w:footnote>
  <w:footnote w:id="28113">
    <w:p>
      <w:pPr>
        <w:pStyle w:val="rFootn"/>
      </w:pPr>
      <w:r>
        <w:rPr>
          <w:rStyle w:val="rFootnRef"/>
        </w:rPr>
        <w:footnoteRef/>
      </w:r>
      <w:r>
        <w:t xml:space="preserve"> 10.5 feet (3.2 meters)</w:t>
      </w:r>
    </w:p>
  </w:footnote>
  <w:footnote w:id="28910">
    <w:p>
      <w:pPr>
        <w:pStyle w:val="rFootn"/>
      </w:pPr>
      <w:r>
        <w:rPr>
          <w:rStyle w:val="rFootnRef"/>
        </w:rPr>
        <w:footnoteRef/>
      </w:r>
      <w:r>
        <w:t xml:space="preserve"> 43.75 feet (13.3 meters)</w:t>
      </w:r>
    </w:p>
  </w:footnote>
  <w:footnote w:id="25043">
    <w:p>
      <w:pPr>
        <w:pStyle w:val="rFootn"/>
      </w:pPr>
      <w:r>
        <w:rPr>
          <w:rStyle w:val="rFootnRef"/>
        </w:rPr>
        <w:footnoteRef/>
      </w:r>
      <w:r>
        <w:t xml:space="preserve"> 105 feet (32 meters)</w:t>
      </w:r>
    </w:p>
  </w:footnote>
  <w:footnote w:id="17816">
    <w:p>
      <w:pPr>
        <w:pStyle w:val="rFootn"/>
      </w:pPr>
      <w:r>
        <w:rPr>
          <w:rStyle w:val="rFootnRef"/>
        </w:rPr>
        <w:footnoteRef/>
      </w:r>
      <w:r>
        <w:t xml:space="preserve"> 87.5 feet (26.7 meters)</w:t>
      </w:r>
    </w:p>
  </w:footnote>
  <w:footnote w:id="28844">
    <w:p>
      <w:pPr>
        <w:pStyle w:val="rFootn"/>
      </w:pPr>
      <w:r>
        <w:rPr>
          <w:rStyle w:val="rFootnRef"/>
        </w:rPr>
        <w:footnoteRef/>
      </w:r>
      <w:r>
        <w:t xml:space="preserve"> 175 feet (53.3 meters)</w:t>
      </w:r>
    </w:p>
  </w:footnote>
  <w:footnote w:id="20386">
    <w:p>
      <w:pPr>
        <w:pStyle w:val="rFootn"/>
      </w:pPr>
      <w:r>
        <w:rPr>
          <w:rStyle w:val="rFootnRef"/>
        </w:rPr>
        <w:footnoteRef/>
      </w:r>
      <w:r>
        <w:t xml:space="preserve"> 87.5 feet (26.7 meters)</w:t>
      </w:r>
    </w:p>
  </w:footnote>
  <w:footnote w:id="17514">
    <w:p>
      <w:pPr>
        <w:pStyle w:val="rFootn"/>
      </w:pPr>
      <w:r>
        <w:rPr>
          <w:rStyle w:val="rFootnRef"/>
        </w:rPr>
        <w:footnoteRef/>
      </w:r>
      <w:r>
        <w:t xml:space="preserve"> 43.75 feet (13.3 meters)</w:t>
      </w:r>
    </w:p>
  </w:footnote>
  <w:footnote w:id="20084">
    <w:p>
      <w:pPr>
        <w:pStyle w:val="rFootn"/>
      </w:pPr>
      <w:r>
        <w:rPr>
          <w:rStyle w:val="rFootnRef"/>
        </w:rPr>
        <w:footnoteRef/>
      </w:r>
      <w:r>
        <w:t xml:space="preserve"> 175 feet (53.3 meters)</w:t>
      </w:r>
    </w:p>
  </w:footnote>
  <w:footnote w:id="31138">
    <w:p>
      <w:pPr>
        <w:pStyle w:val="rFootn"/>
      </w:pPr>
      <w:r>
        <w:rPr>
          <w:rStyle w:val="rFootnRef"/>
        </w:rPr>
        <w:footnoteRef/>
      </w:r>
      <w:r>
        <w:t xml:space="preserve"> 87.5 feet (26.7 meters)</w:t>
      </w:r>
    </w:p>
  </w:footnote>
  <w:footnote w:id="30835">
    <w:p>
      <w:pPr>
        <w:pStyle w:val="rFootn"/>
      </w:pPr>
      <w:r>
        <w:rPr>
          <w:rStyle w:val="rFootnRef"/>
        </w:rPr>
        <w:footnoteRef/>
      </w:r>
      <w:r>
        <w:t xml:space="preserve"> 43.75 feet (13.3 meters)</w:t>
      </w:r>
    </w:p>
  </w:footnote>
  <w:footnote w:id="29681">
    <w:p>
      <w:pPr>
        <w:pStyle w:val="rFootn"/>
      </w:pPr>
      <w:r>
        <w:rPr>
          <w:rStyle w:val="rFootnRef"/>
        </w:rPr>
        <w:footnoteRef/>
      </w:r>
      <w:r>
        <w:t xml:space="preserve"> Meaning “in front of the worshipers”</w:t>
      </w:r>
    </w:p>
  </w:footnote>
  <w:footnote w:id="27536">
    <w:p>
      <w:pPr>
        <w:pStyle w:val="rFootn"/>
      </w:pPr>
      <w:r>
        <w:rPr>
          <w:rStyle w:val="rFootnRef"/>
        </w:rPr>
        <w:footnoteRef/>
      </w:r>
      <w:r>
        <w:t xml:space="preserve"> 175 feet (53.3 meters)</w:t>
      </w:r>
    </w:p>
  </w:footnote>
  <w:footnote w:id="27382">
    <w:p>
      <w:pPr>
        <w:pStyle w:val="rFootn"/>
      </w:pPr>
      <w:r>
        <w:rPr>
          <w:rStyle w:val="rFootnRef"/>
        </w:rPr>
        <w:footnoteRef/>
      </w:r>
      <w:r>
        <w:t xml:space="preserve"> 87.5 feet (26.7 meters)</w:t>
      </w:r>
    </w:p>
  </w:footnote>
  <w:footnote w:id="21266">
    <w:p>
      <w:pPr>
        <w:pStyle w:val="rFootn"/>
      </w:pPr>
      <w:r>
        <w:rPr>
          <w:rStyle w:val="rFootnRef"/>
        </w:rPr>
        <w:footnoteRef/>
      </w:r>
      <w:r>
        <w:t xml:space="preserve"> 43.75 feet (13.3 meters)</w:t>
      </w:r>
    </w:p>
  </w:footnote>
  <w:footnote w:id="28593">
    <w:p>
      <w:pPr>
        <w:pStyle w:val="rFootn"/>
      </w:pPr>
      <w:r>
        <w:rPr>
          <w:rStyle w:val="rFootnRef"/>
        </w:rPr>
        <w:footnoteRef/>
      </w:r>
      <w:r>
        <w:t xml:space="preserve"> 43.75 feet (13.3 meters)</w:t>
      </w:r>
    </w:p>
  </w:footnote>
  <w:footnote w:id="17797">
    <w:p>
      <w:pPr>
        <w:pStyle w:val="rFootn"/>
      </w:pPr>
      <w:r>
        <w:rPr>
          <w:rStyle w:val="rFootnRef"/>
        </w:rPr>
        <w:footnoteRef/>
      </w:r>
      <w:r>
        <w:t xml:space="preserve"> 8.75 feet (2.7 meters)</w:t>
      </w:r>
    </w:p>
  </w:footnote>
  <w:footnote w:id="11788">
    <w:p>
      <w:pPr>
        <w:pStyle w:val="rFootn"/>
      </w:pPr>
      <w:r>
        <w:rPr>
          <w:rStyle w:val="rFootnRef"/>
        </w:rPr>
        <w:footnoteRef/>
      </w:r>
      <w:r>
        <w:t xml:space="preserve"> 87.5 feet (26.7 meters)</w:t>
      </w:r>
    </w:p>
  </w:footnote>
  <w:footnote w:id="21596">
    <w:p>
      <w:pPr>
        <w:pStyle w:val="rFootn"/>
      </w:pPr>
      <w:r>
        <w:rPr>
          <w:rStyle w:val="rFootnRef"/>
        </w:rPr>
        <w:footnoteRef/>
      </w:r>
      <w:r>
        <w:t xml:space="preserve"> 43.75 feet (13.3 meters)</w:t>
      </w:r>
    </w:p>
  </w:footnote>
  <w:footnote w:id="20143">
    <w:p>
      <w:pPr>
        <w:pStyle w:val="rFootn"/>
      </w:pPr>
      <w:r>
        <w:rPr>
          <w:rStyle w:val="rFootnRef"/>
        </w:rPr>
        <w:footnoteRef/>
      </w:r>
      <w:r>
        <w:t xml:space="preserve"> 87.5 feet (26.7 meters)</w:t>
      </w:r>
    </w:p>
  </w:footnote>
  <w:footnote w:id="29162">
    <w:p>
      <w:pPr>
        <w:pStyle w:val="rFootn"/>
      </w:pPr>
      <w:r>
        <w:rPr>
          <w:rStyle w:val="rFootnRef"/>
        </w:rPr>
        <w:footnoteRef/>
      </w:r>
      <w:r>
        <w:t xml:space="preserve"> 43.75 feet (13.3 meters)</w:t>
      </w:r>
    </w:p>
  </w:footnote>
  <w:footnote w:id="31605">
    <w:p>
      <w:pPr>
        <w:pStyle w:val="rFootn"/>
      </w:pPr>
      <w:r>
        <w:rPr>
          <w:rStyle w:val="rFootnRef"/>
        </w:rPr>
        <w:footnoteRef/>
      </w:r>
      <w:r>
        <w:t xml:space="preserve"> 31.5 inches (80 centimeters) square</w:t>
      </w:r>
    </w:p>
  </w:footnote>
  <w:footnote w:id="20083">
    <w:p>
      <w:pPr>
        <w:pStyle w:val="rFootn"/>
      </w:pPr>
      <w:r>
        <w:rPr>
          <w:rStyle w:val="rFootnRef"/>
        </w:rPr>
        <w:footnoteRef/>
      </w:r>
      <w:r>
        <w:t xml:space="preserve"> 21 inches (53.3 centimeters)</w:t>
      </w:r>
    </w:p>
  </w:footnote>
  <w:footnote w:id="31798">
    <w:p>
      <w:pPr>
        <w:pStyle w:val="rFootn"/>
      </w:pPr>
      <w:r>
        <w:rPr>
          <w:rStyle w:val="rFootnRef"/>
        </w:rPr>
        <w:footnoteRef/>
      </w:r>
      <w:r>
        <w:t xml:space="preserve"> About 3 inches (7.6 centimeters)</w:t>
      </w:r>
    </w:p>
  </w:footnote>
  <w:footnote w:id="12907">
    <w:p>
      <w:pPr>
        <w:pStyle w:val="rFootn"/>
      </w:pPr>
      <w:r>
        <w:rPr>
          <w:rStyle w:val="rFootnRef"/>
        </w:rPr>
        <w:footnoteRef/>
      </w:r>
      <w:r>
        <w:t xml:space="preserve"> 175 feet (53.3 meters)</w:t>
      </w:r>
    </w:p>
  </w:footnote>
  <w:footnote w:id="11717">
    <w:p>
      <w:pPr>
        <w:pStyle w:val="rFootn"/>
      </w:pPr>
      <w:r>
        <w:rPr>
          <w:rStyle w:val="rFootnRef"/>
        </w:rPr>
        <w:footnoteRef/>
      </w:r>
      <w:r>
        <w:t xml:space="preserve"> 8.75 feet (2.7 meters)</w:t>
      </w:r>
    </w:p>
  </w:footnote>
  <w:footnote w:id="25038">
    <w:p>
      <w:pPr>
        <w:pStyle w:val="rFootn"/>
      </w:pPr>
      <w:r>
        <w:rPr>
          <w:rStyle w:val="rFootnRef"/>
        </w:rPr>
        <w:footnoteRef/>
      </w:r>
      <w:r>
        <w:t xml:space="preserve"> 24.5 feet (7.5 meters)</w:t>
      </w:r>
    </w:p>
  </w:footnote>
  <w:footnote w:id="12773">
    <w:p>
      <w:pPr>
        <w:pStyle w:val="rFootn"/>
      </w:pPr>
      <w:r>
        <w:rPr>
          <w:rStyle w:val="rFootnRef"/>
        </w:rPr>
        <w:footnoteRef/>
      </w:r>
      <w:r>
        <w:t xml:space="preserve"> 5.25 feet (1.6 meters)</w:t>
      </w:r>
    </w:p>
  </w:footnote>
  <w:footnote w:id="30672">
    <w:p>
      <w:pPr>
        <w:pStyle w:val="rFootn"/>
      </w:pPr>
      <w:r>
        <w:rPr>
          <w:rStyle w:val="rFootnRef"/>
        </w:rPr>
        <w:footnoteRef/>
      </w:r>
      <w:r>
        <w:t xml:space="preserve"> 35 feet (10.7 meters)</w:t>
      </w:r>
    </w:p>
  </w:footnote>
  <w:footnote w:id="30193">
    <w:p>
      <w:pPr>
        <w:pStyle w:val="rFootn"/>
      </w:pPr>
      <w:r>
        <w:rPr>
          <w:rStyle w:val="rFootnRef"/>
        </w:rPr>
        <w:footnoteRef/>
      </w:r>
      <w:r>
        <w:t xml:space="preserve"> 21 feet (6.4 meters)</w:t>
      </w:r>
    </w:p>
  </w:footnote>
  <w:footnote w:id="10185">
    <w:p>
      <w:pPr>
        <w:pStyle w:val="rFootn"/>
      </w:pPr>
      <w:r>
        <w:rPr>
          <w:rStyle w:val="rFootnRef"/>
        </w:rPr>
        <w:footnoteRef/>
      </w:r>
      <w:r>
        <w:t xml:space="preserve"> 10.5 feet (3.2 meters)</w:t>
      </w:r>
    </w:p>
  </w:footnote>
  <w:footnote w:id="21127">
    <w:p>
      <w:pPr>
        <w:pStyle w:val="rFootn"/>
      </w:pPr>
      <w:r>
        <w:rPr>
          <w:rStyle w:val="rFootnRef"/>
        </w:rPr>
        <w:footnoteRef/>
      </w:r>
      <w:r>
        <w:t xml:space="preserve"> 17.5 feet (5.3 meters)</w:t>
      </w:r>
    </w:p>
  </w:footnote>
  <w:footnote w:id="16555">
    <w:p>
      <w:pPr>
        <w:pStyle w:val="rFootn"/>
      </w:pPr>
      <w:r>
        <w:rPr>
          <w:rStyle w:val="rFootnRef"/>
        </w:rPr>
        <w:footnoteRef/>
      </w:r>
      <w:r>
        <w:t xml:space="preserve"> 8.75 feet (2.7 meters)</w:t>
      </w:r>
    </w:p>
  </w:footnote>
  <w:footnote w:id="13755">
    <w:p>
      <w:pPr>
        <w:pStyle w:val="rFootn"/>
      </w:pPr>
      <w:r>
        <w:rPr>
          <w:rStyle w:val="rFootnRef"/>
        </w:rPr>
        <w:footnoteRef/>
      </w:r>
      <w:r>
        <w:t xml:space="preserve"> 70 feet (21.3 meters)</w:t>
      </w:r>
    </w:p>
  </w:footnote>
  <w:footnote w:id="25637">
    <w:p>
      <w:pPr>
        <w:pStyle w:val="rFootn"/>
      </w:pPr>
      <w:r>
        <w:rPr>
          <w:rStyle w:val="rFootnRef"/>
        </w:rPr>
        <w:footnoteRef/>
      </w:r>
      <w:r>
        <w:t xml:space="preserve"> 35 feet (10.7 meters)</w:t>
      </w:r>
    </w:p>
  </w:footnote>
  <w:footnote w:id="20010">
    <w:p>
      <w:pPr>
        <w:pStyle w:val="rFootn"/>
      </w:pPr>
      <w:r>
        <w:rPr>
          <w:rStyle w:val="rFootnRef"/>
        </w:rPr>
        <w:footnoteRef/>
      </w:r>
      <w:r>
        <w:t xml:space="preserve"> 3.5 feet (1.1 meters)</w:t>
      </w:r>
    </w:p>
  </w:footnote>
  <w:footnote w:id="12144">
    <w:p>
      <w:pPr>
        <w:pStyle w:val="rFootn"/>
      </w:pPr>
      <w:r>
        <w:rPr>
          <w:rStyle w:val="rFootnRef"/>
        </w:rPr>
        <w:footnoteRef/>
      </w:r>
      <w:r>
        <w:t xml:space="preserve"> 10.5 feet (3.2 meters)</w:t>
      </w:r>
    </w:p>
  </w:footnote>
  <w:footnote w:id="18634">
    <w:p>
      <w:pPr>
        <w:pStyle w:val="rFootn"/>
      </w:pPr>
      <w:r>
        <w:rPr>
          <w:rStyle w:val="rFootnRef"/>
        </w:rPr>
        <w:footnoteRef/>
      </w:r>
      <w:r>
        <w:t xml:space="preserve"> 12.25 feet (3.7 meters)</w:t>
      </w:r>
    </w:p>
  </w:footnote>
  <w:footnote w:id="22886">
    <w:p>
      <w:pPr>
        <w:pStyle w:val="rFootn"/>
      </w:pPr>
      <w:r>
        <w:rPr>
          <w:rStyle w:val="rFootnRef"/>
        </w:rPr>
        <w:footnoteRef/>
      </w:r>
      <w:r>
        <w:t xml:space="preserve"> 35 feet (10.7 meters)</w:t>
      </w:r>
    </w:p>
  </w:footnote>
  <w:footnote w:id="14314">
    <w:p>
      <w:pPr>
        <w:pStyle w:val="rFootn"/>
      </w:pPr>
      <w:r>
        <w:rPr>
          <w:rStyle w:val="rFootnRef"/>
        </w:rPr>
        <w:footnoteRef/>
      </w:r>
      <w:r>
        <w:t xml:space="preserve"> 10.5 feet (3.2 meters)</w:t>
      </w:r>
    </w:p>
  </w:footnote>
  <w:footnote w:id="10534">
    <w:p>
      <w:pPr>
        <w:pStyle w:val="rFootn"/>
      </w:pPr>
      <w:r>
        <w:rPr>
          <w:rStyle w:val="rFootnRef"/>
        </w:rPr>
        <w:footnoteRef/>
      </w:r>
      <w:r>
        <w:t xml:space="preserve"> 7 feet (2.1 meters)</w:t>
      </w:r>
    </w:p>
  </w:footnote>
  <w:footnote w:id="26799">
    <w:p>
      <w:pPr>
        <w:pStyle w:val="rFootn"/>
      </w:pPr>
      <w:r>
        <w:rPr>
          <w:rStyle w:val="rFootnRef"/>
        </w:rPr>
        <w:footnoteRef/>
      </w:r>
      <w:r>
        <w:t xml:space="preserve"> 10.5 feet (3.2 meters)</w:t>
      </w:r>
    </w:p>
  </w:footnote>
  <w:footnote w:id="19362">
    <w:p>
      <w:pPr>
        <w:pStyle w:val="rFootn"/>
      </w:pPr>
      <w:r>
        <w:rPr>
          <w:rStyle w:val="rFootnRef"/>
        </w:rPr>
        <w:footnoteRef/>
      </w:r>
      <w:r>
        <w:t xml:space="preserve"> 35 feet (10.7 meters)</w:t>
      </w:r>
    </w:p>
  </w:footnote>
  <w:footnote w:id="27282">
    <w:p>
      <w:pPr>
        <w:pStyle w:val="rFootn"/>
      </w:pPr>
      <w:r>
        <w:rPr>
          <w:rStyle w:val="rFootnRef"/>
        </w:rPr>
        <w:footnoteRef/>
      </w:r>
      <w:r>
        <w:t xml:space="preserve"> 8.75 feet (2.7 meters)</w:t>
      </w:r>
    </w:p>
  </w:footnote>
  <w:footnote w:id="32209">
    <w:p>
      <w:pPr>
        <w:pStyle w:val="rFootn"/>
      </w:pPr>
      <w:r>
        <w:rPr>
          <w:rStyle w:val="rFootnRef"/>
        </w:rPr>
        <w:footnoteRef/>
      </w:r>
      <w:r>
        <w:t xml:space="preserve"> 122.5 feet (37.3 meters)</w:t>
      </w:r>
    </w:p>
  </w:footnote>
  <w:footnote w:id="23268">
    <w:p>
      <w:pPr>
        <w:pStyle w:val="rFootn"/>
      </w:pPr>
      <w:r>
        <w:rPr>
          <w:rStyle w:val="rFootnRef"/>
        </w:rPr>
        <w:footnoteRef/>
      </w:r>
      <w:r>
        <w:t xml:space="preserve"> 8.75 feet (2.7 meters)</w:t>
      </w:r>
    </w:p>
  </w:footnote>
  <w:footnote w:id="10129">
    <w:p>
      <w:pPr>
        <w:pStyle w:val="rFootn"/>
      </w:pPr>
      <w:r>
        <w:rPr>
          <w:rStyle w:val="rFootnRef"/>
        </w:rPr>
        <w:footnoteRef/>
      </w:r>
      <w:r>
        <w:t xml:space="preserve"> 90 feet (27.4 meters)</w:t>
      </w:r>
    </w:p>
  </w:footnote>
  <w:footnote w:id="29867">
    <w:p>
      <w:pPr>
        <w:pStyle w:val="rFootn"/>
      </w:pPr>
      <w:r>
        <w:rPr>
          <w:rStyle w:val="rFootnRef"/>
        </w:rPr>
        <w:footnoteRef/>
      </w:r>
      <w:r>
        <w:t xml:space="preserve"> 175 feet (53.3 meters)</w:t>
      </w:r>
    </w:p>
  </w:footnote>
  <w:footnote w:id="21692">
    <w:p>
      <w:pPr>
        <w:pStyle w:val="rFootn"/>
      </w:pPr>
      <w:r>
        <w:rPr>
          <w:rStyle w:val="rFootnRef"/>
        </w:rPr>
        <w:footnoteRef/>
      </w:r>
      <w:r>
        <w:t xml:space="preserve"> 5.25 feet (1.6 meters)</w:t>
      </w:r>
    </w:p>
  </w:footnote>
  <w:footnote w:id="11964">
    <w:p>
      <w:pPr>
        <w:pStyle w:val="rFootn"/>
      </w:pPr>
      <w:r>
        <w:rPr>
          <w:rStyle w:val="rFootnRef"/>
        </w:rPr>
        <w:footnoteRef/>
      </w:r>
      <w:r>
        <w:t xml:space="preserve"> 3.5 feet (1.1 meters)</w:t>
      </w:r>
    </w:p>
  </w:footnote>
  <w:footnote w:id="15128">
    <w:p>
      <w:pPr>
        <w:pStyle w:val="rFootn"/>
      </w:pPr>
      <w:r>
        <w:rPr>
          <w:rStyle w:val="rFootnRef"/>
        </w:rPr>
        <w:footnoteRef/>
      </w:r>
      <w:r>
        <w:t xml:space="preserve"> 175 feet (53.3 meters)</w:t>
      </w:r>
    </w:p>
  </w:footnote>
  <w:footnote w:id="27710">
    <w:p>
      <w:pPr>
        <w:pStyle w:val="rFootn"/>
      </w:pPr>
      <w:r>
        <w:rPr>
          <w:rStyle w:val="rFootnRef"/>
        </w:rPr>
        <w:footnoteRef/>
      </w:r>
      <w:r>
        <w:t xml:space="preserve"> 87.5 feet (26.7 meters)</w:t>
      </w:r>
    </w:p>
  </w:footnote>
  <w:footnote w:id="22787">
    <w:p>
      <w:pPr>
        <w:pStyle w:val="rFootn"/>
      </w:pPr>
      <w:r>
        <w:rPr>
          <w:rStyle w:val="rFootnRef"/>
        </w:rPr>
        <w:footnoteRef/>
      </w:r>
      <w:r>
        <w:t xml:space="preserve"> 17.5 feet (5.3 meters)</w:t>
      </w:r>
    </w:p>
  </w:footnote>
  <w:footnote w:id="13588">
    <w:p>
      <w:pPr>
        <w:pStyle w:val="rFootn"/>
      </w:pPr>
      <w:r>
        <w:rPr>
          <w:rStyle w:val="rFootnRef"/>
        </w:rPr>
        <w:footnoteRef/>
      </w:r>
      <w:r>
        <w:t xml:space="preserve"> 175 feet (53.3 meters)</w:t>
      </w:r>
    </w:p>
  </w:footnote>
  <w:footnote w:id="28978">
    <w:p>
      <w:pPr>
        <w:pStyle w:val="rFootn"/>
      </w:pPr>
      <w:r>
        <w:rPr>
          <w:rStyle w:val="rFootnRef"/>
        </w:rPr>
        <w:footnoteRef/>
      </w:r>
      <w:r>
        <w:t xml:space="preserve"> 87.5 feet (26.7 meters)</w:t>
      </w:r>
    </w:p>
  </w:footnote>
  <w:footnote w:id="25211">
    <w:p>
      <w:pPr>
        <w:pStyle w:val="rFootn"/>
      </w:pPr>
      <w:r>
        <w:rPr>
          <w:rStyle w:val="rFootnRef"/>
        </w:rPr>
        <w:footnoteRef/>
      </w:r>
      <w:r>
        <w:t xml:space="preserve"> As per the LXX</w:t>
      </w:r>
    </w:p>
  </w:footnote>
  <w:footnote w:id="27420">
    <w:p>
      <w:pPr>
        <w:pStyle w:val="rFootn"/>
      </w:pPr>
      <w:r>
        <w:rPr>
          <w:rStyle w:val="rFootnRef"/>
        </w:rPr>
        <w:footnoteRef/>
      </w:r>
      <w:r>
        <w:t xml:space="preserve"> About 285 yards (260 meters)</w:t>
      </w:r>
    </w:p>
  </w:footnote>
  <w:footnote w:id="18755">
    <w:p>
      <w:pPr>
        <w:pStyle w:val="rFootn"/>
      </w:pPr>
      <w:r>
        <w:rPr>
          <w:rStyle w:val="rFootnRef"/>
        </w:rPr>
        <w:footnoteRef/>
      </w:r>
      <w:r>
        <w:t xml:space="preserve"> About 875 feet (266 meters)</w:t>
      </w:r>
    </w:p>
  </w:footnote>
  <w:footnote w:id="17793">
    <w:p>
      <w:pPr>
        <w:pStyle w:val="rFootn"/>
      </w:pPr>
      <w:r>
        <w:rPr>
          <w:rStyle w:val="rFootnRef"/>
        </w:rPr>
        <w:footnoteRef/>
      </w:r>
      <w:r>
        <w:t xml:space="preserve"> The MT reads “I” but some ancient MSS read “he.”</w:t>
      </w:r>
    </w:p>
  </w:footnote>
  <w:footnote w:id="29472">
    <w:p>
      <w:pPr>
        <w:pStyle w:val="rFootn"/>
      </w:pPr>
      <w:r>
        <w:rPr>
          <w:rStyle w:val="rFootnRef"/>
        </w:rPr>
        <w:footnoteRef/>
      </w:r>
      <w:r>
        <w:t xml:space="preserve"> The “long cubit” is about 21 inches (53.5 centimeters).</w:t>
      </w:r>
    </w:p>
  </w:footnote>
  <w:footnote w:id="18028">
    <w:p>
      <w:pPr>
        <w:pStyle w:val="rFootn"/>
      </w:pPr>
      <w:r>
        <w:rPr>
          <w:rStyle w:val="rFootnRef"/>
        </w:rPr>
        <w:footnoteRef/>
      </w:r>
      <w:r>
        <w:t xml:space="preserve"> 3.5 feet (1.1 meters)</w:t>
      </w:r>
    </w:p>
  </w:footnote>
  <w:footnote w:id="21779">
    <w:p>
      <w:pPr>
        <w:pStyle w:val="rFootn"/>
      </w:pPr>
      <w:r>
        <w:rPr>
          <w:rStyle w:val="rFootnRef"/>
        </w:rPr>
        <w:footnoteRef/>
      </w:r>
      <w:r>
        <w:t xml:space="preserve"> 21 inches (53.5 centimeters)</w:t>
      </w:r>
    </w:p>
  </w:footnote>
  <w:footnote w:id="24263">
    <w:p>
      <w:pPr>
        <w:pStyle w:val="rFootn"/>
      </w:pPr>
      <w:r>
        <w:rPr>
          <w:rStyle w:val="rFootnRef"/>
        </w:rPr>
        <w:footnoteRef/>
      </w:r>
      <w:r>
        <w:t xml:space="preserve"> 7 feet (2.1 meters)</w:t>
      </w:r>
    </w:p>
  </w:footnote>
  <w:footnote w:id="19508">
    <w:p>
      <w:pPr>
        <w:pStyle w:val="rFootn"/>
      </w:pPr>
      <w:r>
        <w:rPr>
          <w:rStyle w:val="rFootnRef"/>
        </w:rPr>
        <w:footnoteRef/>
      </w:r>
      <w:r>
        <w:t xml:space="preserve"> 7 feet (2.1 meters)</w:t>
      </w:r>
    </w:p>
  </w:footnote>
  <w:footnote w:id="15257">
    <w:p>
      <w:pPr>
        <w:pStyle w:val="rFootn"/>
      </w:pPr>
      <w:r>
        <w:rPr>
          <w:rStyle w:val="rFootnRef"/>
        </w:rPr>
        <w:footnoteRef/>
      </w:r>
      <w:r>
        <w:t xml:space="preserve"> 21 feet (6.4 meters)</w:t>
      </w:r>
    </w:p>
  </w:footnote>
  <w:footnote w:id="31337">
    <w:p>
      <w:pPr>
        <w:pStyle w:val="rFootn"/>
      </w:pPr>
      <w:r>
        <w:rPr>
          <w:rStyle w:val="rFootnRef"/>
        </w:rPr>
        <w:footnoteRef/>
      </w:r>
      <w:r>
        <w:t xml:space="preserve"> 24.5 feet (7.5 meters) square</w:t>
      </w:r>
    </w:p>
  </w:footnote>
  <w:footnote w:id="16936">
    <w:p>
      <w:pPr>
        <w:pStyle w:val="rFootn"/>
      </w:pPr>
      <w:r>
        <w:rPr>
          <w:rStyle w:val="rFootnRef"/>
        </w:rPr>
        <w:footnoteRef/>
      </w:r>
      <w:r>
        <w:t xml:space="preserve"> 10.5 inches (26.7 centimeters)</w:t>
      </w:r>
    </w:p>
  </w:footnote>
  <w:footnote w:id="28566">
    <w:p>
      <w:pPr>
        <w:pStyle w:val="rFootn"/>
      </w:pPr>
      <w:r>
        <w:rPr>
          <w:rStyle w:val="rFootnRef"/>
        </w:rPr>
        <w:footnoteRef/>
      </w:r>
      <w:r>
        <w:t xml:space="preserve"> Roughly 285 yards (260 meters)</w:t>
      </w:r>
    </w:p>
  </w:footnote>
  <w:footnote w:id="19902">
    <w:p>
      <w:pPr>
        <w:pStyle w:val="rFootn"/>
      </w:pPr>
      <w:r>
        <w:rPr>
          <w:rStyle w:val="rFootnRef"/>
        </w:rPr>
        <w:footnoteRef/>
      </w:r>
      <w:r>
        <w:t xml:space="preserve"> Roughly 28.5 yards (26 meters)</w:t>
      </w:r>
    </w:p>
  </w:footnote>
  <w:footnote w:id="15605">
    <w:p>
      <w:pPr>
        <w:pStyle w:val="rFootn"/>
      </w:pPr>
      <w:r>
        <w:rPr>
          <w:rStyle w:val="rFootnRef"/>
        </w:rPr>
        <w:footnoteRef/>
      </w:r>
      <w:r>
        <w:t xml:space="preserve"> A shekel is roughly 0.4 ounces (11.3 grams).</w:t>
      </w:r>
    </w:p>
  </w:footnote>
  <w:footnote w:id="12759">
    <w:p>
      <w:pPr>
        <w:pStyle w:val="rFootn"/>
      </w:pPr>
      <w:r>
        <w:rPr>
          <w:rStyle w:val="rFootnRef"/>
        </w:rPr>
        <w:footnoteRef/>
      </w:r>
      <w:r>
        <w:t xml:space="preserve"> 1,000 cubits is about 1/3 of a mile (1/2 a kilometer).</w:t>
      </w:r>
    </w:p>
  </w:footnote>
  <w:footnote w:id="13299">
    <w:p>
      <w:pPr>
        <w:pStyle w:val="rFootn"/>
      </w:pPr>
      <w:r>
        <w:rPr>
          <w:rStyle w:val="rFootnRef"/>
        </w:rPr>
        <w:footnoteRef/>
      </w:r>
      <w:r>
        <w:t xml:space="preserve"> 8.12 miles (13.06 kilometers) from north to south</w:t>
      </w:r>
    </w:p>
  </w:footnote>
  <w:footnote w:id="24285">
    <w:p>
      <w:pPr>
        <w:pStyle w:val="rFootn"/>
      </w:pPr>
      <w:r>
        <w:rPr>
          <w:rStyle w:val="rFootnRef"/>
        </w:rPr>
        <w:footnoteRef/>
      </w:r>
      <w:r>
        <w:t xml:space="preserve"> “length” is east to west; roughly 8.12 miles (13.06 kilometers)</w:t>
      </w:r>
    </w:p>
  </w:footnote>
  <w:footnote w:id="23590">
    <w:p>
      <w:pPr>
        <w:pStyle w:val="rFootn"/>
      </w:pPr>
      <w:r>
        <w:rPr>
          <w:rStyle w:val="rFootnRef"/>
        </w:rPr>
        <w:footnoteRef/>
      </w:r>
      <w:r>
        <w:t xml:space="preserve"> Roughly 3.25 miles (5.23 kilometers) north to south</w:t>
      </w:r>
    </w:p>
  </w:footnote>
  <w:footnote w:id="31835">
    <w:p>
      <w:pPr>
        <w:pStyle w:val="rFootn"/>
      </w:pPr>
      <w:r>
        <w:rPr>
          <w:rStyle w:val="rFootnRef"/>
        </w:rPr>
        <w:footnoteRef/>
      </w:r>
      <w:r>
        <w:t xml:space="preserve"> Roughly 8.12 miles (13.06 kilometers)</w:t>
      </w:r>
    </w:p>
  </w:footnote>
  <w:footnote w:id="27528">
    <w:p>
      <w:pPr>
        <w:pStyle w:val="rFootn"/>
      </w:pPr>
      <w:r>
        <w:rPr>
          <w:rStyle w:val="rFootnRef"/>
        </w:rPr>
        <w:footnoteRef/>
      </w:r>
      <w:r>
        <w:t xml:space="preserve"> Roughly 3.25 mile (5.23 kilometers)</w:t>
      </w:r>
    </w:p>
  </w:footnote>
  <w:footnote w:id="10494">
    <w:p>
      <w:pPr>
        <w:pStyle w:val="rFootn"/>
      </w:pPr>
      <w:r>
        <w:rPr>
          <w:rStyle w:val="rFootnRef"/>
        </w:rPr>
        <w:footnoteRef/>
      </w:r>
      <w:r>
        <w:t xml:space="preserve"> Roughly 1.62 miles (2.6 kilometers) from north to south</w:t>
      </w:r>
    </w:p>
  </w:footnote>
  <w:footnote w:id="11561">
    <w:p>
      <w:pPr>
        <w:pStyle w:val="rFootn"/>
      </w:pPr>
      <w:r>
        <w:rPr>
          <w:rStyle w:val="rFootnRef"/>
        </w:rPr>
        <w:footnoteRef/>
      </w:r>
      <w:r>
        <w:t xml:space="preserve"> Roughly 8.12 miles (13.06 kilometers)</w:t>
      </w:r>
    </w:p>
  </w:footnote>
  <w:footnote w:id="30753">
    <w:p>
      <w:pPr>
        <w:pStyle w:val="rFootn"/>
      </w:pPr>
      <w:r>
        <w:rPr>
          <w:rStyle w:val="rFootnRef"/>
        </w:rPr>
        <w:footnoteRef/>
      </w:r>
      <w:r>
        <w:t xml:space="preserve"> Roughly 1.46 miles (2.34 kilometers)</w:t>
      </w:r>
    </w:p>
  </w:footnote>
  <w:footnote w:id="25474">
    <w:p>
      <w:pPr>
        <w:pStyle w:val="rFootn"/>
      </w:pPr>
      <w:r>
        <w:rPr>
          <w:rStyle w:val="rFootnRef"/>
        </w:rPr>
        <w:footnoteRef/>
      </w:r>
      <w:r>
        <w:t xml:space="preserve"> Roughly 429 feet (130.7 meters)</w:t>
      </w:r>
    </w:p>
  </w:footnote>
  <w:footnote w:id="31218">
    <w:p>
      <w:pPr>
        <w:pStyle w:val="rFootn"/>
      </w:pPr>
      <w:r>
        <w:rPr>
          <w:rStyle w:val="rFootnRef"/>
        </w:rPr>
        <w:footnoteRef/>
      </w:r>
      <w:r>
        <w:t xml:space="preserve"> Roughly 3.25 miles (5.23 kilometers)</w:t>
      </w:r>
    </w:p>
  </w:footnote>
  <w:footnote w:id="14620">
    <w:p>
      <w:pPr>
        <w:pStyle w:val="rFootn"/>
      </w:pPr>
      <w:r>
        <w:rPr>
          <w:rStyle w:val="rFootnRef"/>
        </w:rPr>
        <w:footnoteRef/>
      </w:r>
      <w:r>
        <w:t xml:space="preserve"> A square of roughly 8.12 miles (13.06 kilometers) on each side</w:t>
      </w:r>
    </w:p>
  </w:footnote>
  <w:footnote w:id="24313">
    <w:p>
      <w:pPr>
        <w:pStyle w:val="rFootn"/>
      </w:pPr>
      <w:r>
        <w:rPr>
          <w:rStyle w:val="rFootnRef"/>
        </w:rPr>
        <w:footnoteRef/>
      </w:r>
      <w:r>
        <w:t xml:space="preserve"> Just under 1.5 miles (2.35 kilometers)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582364">
    <w:multiLevelType w:val="hybridMultilevel"/>
    <w:lvl w:ilvl="0" w:tplc="29804242">
      <w:start w:val="1"/>
      <w:numFmt w:val="decimal"/>
      <w:lvlText w:val="%1."/>
      <w:lvlJc w:val="left"/>
      <w:pPr>
        <w:ind w:left="720" w:hanging="360"/>
      </w:pPr>
    </w:lvl>
    <w:lvl w:ilvl="1" w:tplc="29804242" w:tentative="1">
      <w:start w:val="1"/>
      <w:numFmt w:val="lowerLetter"/>
      <w:lvlText w:val="%2."/>
      <w:lvlJc w:val="left"/>
      <w:pPr>
        <w:ind w:left="1440" w:hanging="360"/>
      </w:pPr>
    </w:lvl>
    <w:lvl w:ilvl="2" w:tplc="29804242" w:tentative="1">
      <w:start w:val="1"/>
      <w:numFmt w:val="lowerRoman"/>
      <w:lvlText w:val="%3."/>
      <w:lvlJc w:val="right"/>
      <w:pPr>
        <w:ind w:left="2160" w:hanging="180"/>
      </w:pPr>
    </w:lvl>
    <w:lvl w:ilvl="3" w:tplc="29804242" w:tentative="1">
      <w:start w:val="1"/>
      <w:numFmt w:val="decimal"/>
      <w:lvlText w:val="%4."/>
      <w:lvlJc w:val="left"/>
      <w:pPr>
        <w:ind w:left="2880" w:hanging="360"/>
      </w:pPr>
    </w:lvl>
    <w:lvl w:ilvl="4" w:tplc="29804242" w:tentative="1">
      <w:start w:val="1"/>
      <w:numFmt w:val="lowerLetter"/>
      <w:lvlText w:val="%5."/>
      <w:lvlJc w:val="left"/>
      <w:pPr>
        <w:ind w:left="3600" w:hanging="360"/>
      </w:pPr>
    </w:lvl>
    <w:lvl w:ilvl="5" w:tplc="29804242" w:tentative="1">
      <w:start w:val="1"/>
      <w:numFmt w:val="lowerRoman"/>
      <w:lvlText w:val="%6."/>
      <w:lvlJc w:val="right"/>
      <w:pPr>
        <w:ind w:left="4320" w:hanging="180"/>
      </w:pPr>
    </w:lvl>
    <w:lvl w:ilvl="6" w:tplc="29804242" w:tentative="1">
      <w:start w:val="1"/>
      <w:numFmt w:val="decimal"/>
      <w:lvlText w:val="%7."/>
      <w:lvlJc w:val="left"/>
      <w:pPr>
        <w:ind w:left="5040" w:hanging="360"/>
      </w:pPr>
    </w:lvl>
    <w:lvl w:ilvl="7" w:tplc="29804242" w:tentative="1">
      <w:start w:val="1"/>
      <w:numFmt w:val="lowerLetter"/>
      <w:lvlText w:val="%8."/>
      <w:lvlJc w:val="left"/>
      <w:pPr>
        <w:ind w:left="5760" w:hanging="360"/>
      </w:pPr>
    </w:lvl>
    <w:lvl w:ilvl="8" w:tplc="29804242" w:tentative="1">
      <w:start w:val="1"/>
      <w:numFmt w:val="lowerRoman"/>
      <w:lvlText w:val="%9."/>
      <w:lvlJc w:val="right"/>
      <w:pPr>
        <w:ind w:left="6480" w:hanging="180"/>
      </w:pPr>
    </w:lvl>
  </w:abstractNum>
  <w:abstractNum w:abstractNumId="27663">
    <w:multiLevelType w:val="hybridMultilevel"/>
    <w:lvl w:ilvl="0" w:tplc="420116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663">
    <w:abstractNumId w:val="27663"/>
  </w:num>
  <w:num w:numId="61582364">
    <w:abstractNumId w:val="6158236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2305003" Type="http://schemas.openxmlformats.org/officeDocument/2006/relationships/numbering" Target="numbering.xml"/><Relationship Id="rId305262017" Type="http://schemas.openxmlformats.org/officeDocument/2006/relationships/comments" Target="comments.xml"/><Relationship Id="rId696367bb2e22ea2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