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rFootnRef"/>
        </w:rPr>
        <w:footnoteReference w:id="19999"/>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fellowship offerings (Lev. 7:28-34). The fact that the priests got to eat parts of some of the sacrifices is one reason why the altar of the Lord was also referred to as the “table” of the Lord (see commentary on Mal. 1:7).</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rFootnRef"/>
        </w:rPr>
        <w:footnoteReference w:id="31181"/>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rFootnRef"/>
        </w:rPr>
        <w:footnoteReference w:id="10493"/>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rFootnRef"/>
        </w:rPr>
        <w:footnoteReference w:id="14276"/>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rFootnRef"/>
        </w:rPr>
        <w:footnoteReference w:id="30824"/>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rFootnRef"/>
        </w:rPr>
        <w:footnoteReference w:id="20354"/>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rFootnRef"/>
        </w:rPr>
        <w:footnoteReference w:id="17129"/>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rFootnRef"/>
        </w:rPr>
        <w:footnoteReference w:id="26448"/>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rFootnRef"/>
        </w:rPr>
        <w:footnoteReference w:id="29531"/>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rFootnRef"/>
        </w:rPr>
        <w:footnoteReference w:id="10905"/>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rFootnRef"/>
        </w:rPr>
        <w:footnoteReference w:id="28794"/>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593167bb2e3aaaef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733129"/>
      <w:docPartObj>
        <w:docPartGallery w:val="Page Numbers (Bottom of Page)"/>
        <w:docPartUnique/>
      </w:docPartObj>
    </w:sdtPr>
    <w:sdtContent>
      <w:sdt>
        <w:sdtPr>
          <w:id w:val="2519934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999">
    <w:p>
      <w:pPr>
        <w:pStyle w:val="rFootn"/>
      </w:pPr>
      <w:r>
        <w:rPr>
          <w:rStyle w:val="rFootnRef"/>
        </w:rPr>
        <w:footnoteRef/>
      </w:r>
      <w:r>
        <w:t xml:space="preserve"> J. Andrew Dearman, </w:t>
      </w:r>
      <w:r>
        <w:rPr>
          <w:i/>
        </w:rPr>
        <w:t xml:space="preserve">The Book of Hosea</w:t>
      </w:r>
      <w:r>
        <w:t xml:space="preserve"> [NICOT], 105-06.</w:t>
      </w:r>
    </w:p>
  </w:footnote>
  <w:footnote w:id="31181">
    <w:p>
      <w:pPr>
        <w:pStyle w:val="rFootn"/>
      </w:pPr>
      <w:r>
        <w:rPr>
          <w:rStyle w:val="rFootnRef"/>
        </w:rPr>
        <w:footnoteRef/>
      </w:r>
      <w:r>
        <w:t xml:space="preserve"> Francis Andersen and David Noel Freedman, </w:t>
      </w:r>
      <w:r>
        <w:rPr>
          <w:i/>
        </w:rPr>
        <w:t xml:space="preserve">Hosea</w:t>
      </w:r>
      <w:r>
        <w:t xml:space="preserve"> [AB], 421.</w:t>
      </w:r>
    </w:p>
  </w:footnote>
  <w:footnote w:id="10493">
    <w:p>
      <w:pPr>
        <w:pStyle w:val="rFootn"/>
      </w:pPr>
      <w:r>
        <w:rPr>
          <w:rStyle w:val="rFootnRef"/>
        </w:rPr>
        <w:footnoteRef/>
      </w:r>
      <w:r>
        <w:t xml:space="preserve"> Douglas K. Stuart, </w:t>
      </w:r>
      <w:r>
        <w:rPr>
          <w:i/>
        </w:rPr>
        <w:t xml:space="preserve">Hosea-Jonah</w:t>
      </w:r>
      <w:r>
        <w:t xml:space="preserve"> [WBC].</w:t>
      </w:r>
    </w:p>
  </w:footnote>
  <w:footnote w:id="14276">
    <w:p>
      <w:pPr>
        <w:pStyle w:val="rFootn"/>
      </w:pPr>
      <w:r>
        <w:rPr>
          <w:rStyle w:val="rFootnRef"/>
        </w:rPr>
        <w:footnoteRef/>
      </w:r>
      <w:r>
        <w:t xml:space="preserve"> John Owen, trans., </w:t>
      </w:r>
      <w:r>
        <w:rPr>
          <w:i/>
        </w:rPr>
        <w:t xml:space="preserve">Twelve Minor Prophets: Hosea</w:t>
      </w:r>
      <w:r>
        <w:t xml:space="preserve"> by John Calvin, 233.</w:t>
      </w:r>
    </w:p>
  </w:footnote>
  <w:footnote w:id="30824">
    <w:p>
      <w:pPr>
        <w:pStyle w:val="rFootn"/>
      </w:pPr>
      <w:r>
        <w:rPr>
          <w:rStyle w:val="rFootnRef"/>
        </w:rPr>
        <w:footnoteRef/>
      </w:r>
      <w:r>
        <w:t xml:space="preserve"> Andersen and Freedman, </w:t>
      </w:r>
      <w:r>
        <w:rPr>
          <w:i/>
        </w:rPr>
        <w:t xml:space="preserve">Hosea</w:t>
      </w:r>
      <w:r>
        <w:t xml:space="preserve"> [AB], 436.</w:t>
      </w:r>
    </w:p>
  </w:footnote>
  <w:footnote w:id="20354">
    <w:p>
      <w:pPr>
        <w:pStyle w:val="rFootn"/>
      </w:pPr>
      <w:r>
        <w:rPr>
          <w:rStyle w:val="rFootnRef"/>
        </w:rPr>
        <w:footnoteRef/>
      </w:r>
      <w:r>
        <w:t xml:space="preserve"> Sakenfeld, </w:t>
      </w:r>
      <w:r>
        <w:rPr>
          <w:i/>
        </w:rPr>
        <w:t xml:space="preserve">New Interpreter’s Dictionary of the Bible</w:t>
      </w:r>
      <w:r>
        <w:t xml:space="preserve">, s.v. “Adam”</w:t>
      </w:r>
    </w:p>
  </w:footnote>
  <w:footnote w:id="17129">
    <w:p>
      <w:pPr>
        <w:pStyle w:val="rFootn"/>
      </w:pPr>
      <w:r>
        <w:rPr>
          <w:rStyle w:val="rFootnRef"/>
        </w:rPr>
        <w:footnoteRef/>
      </w:r>
      <w:r>
        <w:t xml:space="preserve"> Buttrick, </w:t>
      </w:r>
      <w:r>
        <w:rPr>
          <w:i/>
        </w:rPr>
        <w:t xml:space="preserve">Interpreter’s Bible</w:t>
      </w:r>
      <w:r>
        <w:t xml:space="preserve">, brackets and parentheses theirs.</w:t>
      </w:r>
    </w:p>
  </w:footnote>
  <w:footnote w:id="26448">
    <w:p>
      <w:pPr>
        <w:pStyle w:val="rFootn"/>
      </w:pPr>
      <w:r>
        <w:rPr>
          <w:rStyle w:val="rFootnRef"/>
        </w:rPr>
        <w:footnoteRef/>
      </w:r>
      <w:r>
        <w:t xml:space="preserve"> Josephus, </w:t>
      </w:r>
      <w:r>
        <w:rPr>
          <w:i/>
        </w:rPr>
        <w:t xml:space="preserve">Antiquities of the Jews</w:t>
      </w:r>
      <w:r>
        <w:t xml:space="preserve">, 11.8.6.</w:t>
      </w:r>
    </w:p>
  </w:footnote>
  <w:footnote w:id="29531">
    <w:p>
      <w:pPr>
        <w:pStyle w:val="rFootn"/>
      </w:pPr>
      <w:r>
        <w:rPr>
          <w:rStyle w:val="rFootnRef"/>
        </w:rPr>
        <w:footnoteRef/>
      </w:r>
      <w:r>
        <w:t xml:space="preserve"> Cf. J. Andrew Dearman, </w:t>
      </w:r>
      <w:r>
        <w:rPr>
          <w:i/>
        </w:rPr>
        <w:t xml:space="preserve">The Book of Hosea</w:t>
      </w:r>
      <w:r>
        <w:t xml:space="preserve"> [NICOT].</w:t>
      </w:r>
    </w:p>
  </w:footnote>
  <w:footnote w:id="10905">
    <w:p>
      <w:pPr>
        <w:pStyle w:val="rFootn"/>
      </w:pPr>
      <w:r>
        <w:rPr>
          <w:rStyle w:val="rFootnRef"/>
        </w:rPr>
        <w:footnoteRef/>
      </w:r>
      <w:r>
        <w:t xml:space="preserve"> Andersen and Freedman, </w:t>
      </w:r>
      <w:r>
        <w:rPr>
          <w:i/>
        </w:rPr>
        <w:t xml:space="preserve">Hosea</w:t>
      </w:r>
      <w:r>
        <w:t xml:space="preserve"> [AB], 593.</w:t>
      </w:r>
    </w:p>
  </w:footnote>
  <w:footnote w:id="28794">
    <w:p>
      <w:pPr>
        <w:pStyle w:val="rFootn"/>
      </w:pPr>
      <w:r>
        <w:rPr>
          <w:rStyle w:val="rFootnRef"/>
        </w:rPr>
        <w:footnoteRef/>
      </w:r>
      <w:r>
        <w:t xml:space="preserve"> Cf. Keil and Delitzsch, </w:t>
      </w:r>
      <w:r>
        <w:rPr>
          <w:i/>
        </w:rPr>
        <w:t xml:space="preserve">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981310">
    <w:multiLevelType w:val="hybridMultilevel"/>
    <w:lvl w:ilvl="0" w:tplc="74744278">
      <w:start w:val="1"/>
      <w:numFmt w:val="decimal"/>
      <w:lvlText w:val="%1."/>
      <w:lvlJc w:val="left"/>
      <w:pPr>
        <w:ind w:left="720" w:hanging="360"/>
      </w:pPr>
    </w:lvl>
    <w:lvl w:ilvl="1" w:tplc="74744278" w:tentative="1">
      <w:start w:val="1"/>
      <w:numFmt w:val="lowerLetter"/>
      <w:lvlText w:val="%2."/>
      <w:lvlJc w:val="left"/>
      <w:pPr>
        <w:ind w:left="1440" w:hanging="360"/>
      </w:pPr>
    </w:lvl>
    <w:lvl w:ilvl="2" w:tplc="74744278" w:tentative="1">
      <w:start w:val="1"/>
      <w:numFmt w:val="lowerRoman"/>
      <w:lvlText w:val="%3."/>
      <w:lvlJc w:val="right"/>
      <w:pPr>
        <w:ind w:left="2160" w:hanging="180"/>
      </w:pPr>
    </w:lvl>
    <w:lvl w:ilvl="3" w:tplc="74744278" w:tentative="1">
      <w:start w:val="1"/>
      <w:numFmt w:val="decimal"/>
      <w:lvlText w:val="%4."/>
      <w:lvlJc w:val="left"/>
      <w:pPr>
        <w:ind w:left="2880" w:hanging="360"/>
      </w:pPr>
    </w:lvl>
    <w:lvl w:ilvl="4" w:tplc="74744278" w:tentative="1">
      <w:start w:val="1"/>
      <w:numFmt w:val="lowerLetter"/>
      <w:lvlText w:val="%5."/>
      <w:lvlJc w:val="left"/>
      <w:pPr>
        <w:ind w:left="3600" w:hanging="360"/>
      </w:pPr>
    </w:lvl>
    <w:lvl w:ilvl="5" w:tplc="74744278" w:tentative="1">
      <w:start w:val="1"/>
      <w:numFmt w:val="lowerRoman"/>
      <w:lvlText w:val="%6."/>
      <w:lvlJc w:val="right"/>
      <w:pPr>
        <w:ind w:left="4320" w:hanging="180"/>
      </w:pPr>
    </w:lvl>
    <w:lvl w:ilvl="6" w:tplc="74744278" w:tentative="1">
      <w:start w:val="1"/>
      <w:numFmt w:val="decimal"/>
      <w:lvlText w:val="%7."/>
      <w:lvlJc w:val="left"/>
      <w:pPr>
        <w:ind w:left="5040" w:hanging="360"/>
      </w:pPr>
    </w:lvl>
    <w:lvl w:ilvl="7" w:tplc="74744278" w:tentative="1">
      <w:start w:val="1"/>
      <w:numFmt w:val="lowerLetter"/>
      <w:lvlText w:val="%8."/>
      <w:lvlJc w:val="left"/>
      <w:pPr>
        <w:ind w:left="5760" w:hanging="360"/>
      </w:pPr>
    </w:lvl>
    <w:lvl w:ilvl="8" w:tplc="74744278" w:tentative="1">
      <w:start w:val="1"/>
      <w:numFmt w:val="lowerRoman"/>
      <w:lvlText w:val="%9."/>
      <w:lvlJc w:val="right"/>
      <w:pPr>
        <w:ind w:left="6480" w:hanging="180"/>
      </w:pPr>
    </w:lvl>
  </w:abstractNum>
  <w:abstractNum w:abstractNumId="17116">
    <w:multiLevelType w:val="hybridMultilevel"/>
    <w:lvl w:ilvl="0" w:tplc="166117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116">
    <w:abstractNumId w:val="17116"/>
  </w:num>
  <w:num w:numId="22981310">
    <w:abstractNumId w:val="229813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3065323" Type="http://schemas.openxmlformats.org/officeDocument/2006/relationships/numbering" Target="numbering.xml"/><Relationship Id="rId616958841" Type="http://schemas.openxmlformats.org/officeDocument/2006/relationships/comments" Target="comments.xml"/><Relationship Id="rId593167bb2e3aaaef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