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7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16493"/>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rFootnRef"/>
        </w:rPr>
        <w:footnoteReference w:id="31255"/>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rFootnRef"/>
        </w:rPr>
        <w:footnoteReference w:id="23408"/>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rFootnRef"/>
        </w:rPr>
        <w:footnoteReference w:id="20998"/>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rFootnRef"/>
        </w:rPr>
        <w:footnoteReference w:id="14825"/>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rFootnRef"/>
        </w:rPr>
        <w:footnoteReference w:id="31453"/>
      </w:r>
      <w:r>
        <w:rPr/>
        <w:t xml:space="preserve"> has reconciled </w:t>
      </w:r>
      <w:r>
        <w:rPr>
          <w:i/>
          <w:iCs/>
        </w:rPr>
        <w:t xml:space="preserve">you</w:t>
      </w:r>
      <w:r>
        <w:rPr/>
        <w:t xml:space="preserve"> by his</w:t>
      </w:r>
      <w:r>
        <w:rPr>
          <w:rStyle w:val="rFootnRef"/>
        </w:rPr>
        <w:footnoteReference w:id="14602"/>
      </w:r>
      <w:r>
        <w:rPr/>
        <w:t xml:space="preserve"> physical body</w:t>
      </w:r>
      <w:r>
        <w:rPr>
          <w:rStyle w:val="rFootnRef"/>
        </w:rPr>
        <w:footnoteReference w:id="23650"/>
      </w:r>
      <w:r>
        <w:rPr/>
        <w:t xml:space="preserve"> through </w:t>
      </w:r>
      <w:r>
        <w:rPr>
          <w:i/>
          <w:iCs/>
        </w:rPr>
        <w:t xml:space="preserve">his</w:t>
      </w:r>
      <w:r>
        <w:rPr/>
        <w:t xml:space="preserve"> death to present you holy and without blemish and blameless in His</w:t>
      </w:r>
      <w:r>
        <w:rPr>
          <w:rStyle w:val="rFootnRef"/>
        </w:rPr>
        <w:footnoteReference w:id="31771"/>
      </w:r>
      <w:r>
        <w:rPr/>
        <w:t xml:space="preserve"> presence— </w:t>
      </w:r>
      <w:r>
        <w:rPr>
          <w:rStyle w:val="rSupStyle"/>
          <w:vertAlign w:val="superscript"/>
        </w:rPr>
        <w:t xml:space="preserve">23</w:t>
      </w:r>
      <w:r>
        <w:rPr/>
        <w:t xml:space="preserve">if indeed you continue in the faith,</w:t>
      </w:r>
      <w:r>
        <w:rPr>
          <w:rStyle w:val="rFootnRef"/>
        </w:rPr>
        <w:footnoteReference w:id="31539"/>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rFootnRef"/>
        </w:rPr>
        <w:footnoteReference w:id="27217"/>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rFootnRef"/>
        </w:rPr>
        <w:footnoteReference w:id="13508"/>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rFootnRef"/>
        </w:rPr>
        <w:footnoteReference w:id="25332"/>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rFootnRef"/>
        </w:rPr>
        <w:footnoteReference w:id="10425"/>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rFootnRef"/>
        </w:rPr>
        <w:footnoteReference w:id="32268"/>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rFootnRef"/>
        </w:rPr>
        <w:footnoteReference w:id="26820"/>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rFootnRef"/>
        </w:rPr>
        <w:footnoteReference w:id="12216"/>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rFootnRef"/>
        </w:rPr>
        <w:footnoteReference w:id="15339"/>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rFootnRef"/>
        </w:rPr>
        <w:footnoteReference w:id="26912"/>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rFootnRef"/>
        </w:rPr>
        <w:footnoteReference w:id="16206"/>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rFootnRef"/>
        </w:rPr>
        <w:footnoteReference w:id="19816"/>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rFootnRef"/>
        </w:rPr>
        <w:footnoteReference w:id="15608"/>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rFootnRef"/>
        </w:rPr>
        <w:footnoteReference w:id="28414"/>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rFootnRef"/>
        </w:rPr>
        <w:footnoteReference w:id="30058"/>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rFootnRef"/>
        </w:rPr>
        <w:footnoteReference w:id="25641"/>
      </w:r>
      <w:r>
        <w:rPr/>
        <w:t xml:space="preserve"> in all things, not only to win their approval when they are watching you,</w:t>
      </w:r>
      <w:r>
        <w:rPr>
          <w:rStyle w:val="rFootnRef"/>
        </w:rPr>
        <w:footnoteReference w:id="13265"/>
      </w:r>
      <w:r>
        <w:rPr/>
        <w:t xml:space="preserve"> but with a sincere heart,</w:t>
      </w:r>
      <w:r>
        <w:rPr>
          <w:rStyle w:val="rFootnRef"/>
        </w:rPr>
        <w:footnoteReference w:id="12412"/>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rFootnRef"/>
        </w:rPr>
        <w:footnoteReference w:id="29566"/>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rFootnRef"/>
        </w:rPr>
        <w:footnoteReference w:id="15817"/>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rFootnRef"/>
        </w:rPr>
        <w:footnoteReference w:id="18829"/>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on your behalf in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118567bb2e405dfa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024062"/>
      <w:docPartObj>
        <w:docPartGallery w:val="Page Numbers (Bottom of Page)"/>
        <w:docPartUnique/>
      </w:docPartObj>
    </w:sdtPr>
    <w:sdtContent>
      <w:sdt>
        <w:sdtPr>
          <w:id w:val="2597337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493">
    <w:p>
      <w:pPr>
        <w:pStyle w:val="rFootn"/>
      </w:pPr>
      <w:r>
        <w:rPr>
          <w:rStyle w:val="rFootnRef"/>
        </w:rPr>
        <w:footnoteRef/>
      </w:r>
      <w:r>
        <w:t xml:space="preserve"> Lit. “the Anointed One”</w:t>
      </w:r>
    </w:p>
  </w:footnote>
  <w:footnote w:id="31255">
    <w:p>
      <w:pPr>
        <w:pStyle w:val="rFootn"/>
      </w:pPr>
      <w:r>
        <w:rPr>
          <w:rStyle w:val="rFootnRef"/>
        </w:rPr>
        <w:footnoteRef/>
      </w:r>
      <w:r>
        <w:t xml:space="preserve"> Lit. “in truth”</w:t>
      </w:r>
    </w:p>
  </w:footnote>
  <w:footnote w:id="23408">
    <w:p>
      <w:pPr>
        <w:pStyle w:val="rFootn"/>
      </w:pPr>
      <w:r>
        <w:rPr>
          <w:rStyle w:val="rFootnRef"/>
        </w:rPr>
        <w:footnoteRef/>
      </w:r>
      <w:r>
        <w:t xml:space="preserve"> Or “before”</w:t>
      </w:r>
    </w:p>
  </w:footnote>
  <w:footnote w:id="20998">
    <w:p>
      <w:pPr>
        <w:pStyle w:val="rFootn"/>
      </w:pPr>
      <w:r>
        <w:rPr>
          <w:rStyle w:val="rFootnRef"/>
        </w:rPr>
        <w:footnoteRef/>
      </w:r>
      <w:r>
        <w:t xml:space="preserve"> “his” refers to Christ</w:t>
      </w:r>
    </w:p>
  </w:footnote>
  <w:footnote w:id="14825">
    <w:p>
      <w:pPr>
        <w:pStyle w:val="rFootn"/>
      </w:pPr>
      <w:r>
        <w:rPr>
          <w:rStyle w:val="rFootnRef"/>
        </w:rPr>
        <w:footnoteRef/>
      </w:r>
      <w:r>
        <w:t xml:space="preserve"> Lit. “enemies in the mind”</w:t>
      </w:r>
    </w:p>
  </w:footnote>
  <w:footnote w:id="31453">
    <w:p>
      <w:pPr>
        <w:pStyle w:val="rFootn"/>
      </w:pPr>
      <w:r>
        <w:rPr>
          <w:rStyle w:val="rFootnRef"/>
        </w:rPr>
        <w:footnoteRef/>
      </w:r>
      <w:r>
        <w:t xml:space="preserve"> “He” refers to God</w:t>
      </w:r>
    </w:p>
  </w:footnote>
  <w:footnote w:id="14602">
    <w:p>
      <w:pPr>
        <w:pStyle w:val="rFootn"/>
      </w:pPr>
      <w:r>
        <w:rPr>
          <w:rStyle w:val="rFootnRef"/>
        </w:rPr>
        <w:footnoteRef/>
      </w:r>
      <w:r>
        <w:t xml:space="preserve"> “his” refers to Christ</w:t>
      </w:r>
    </w:p>
  </w:footnote>
  <w:footnote w:id="23650">
    <w:p>
      <w:pPr>
        <w:pStyle w:val="rFootn"/>
      </w:pPr>
      <w:r>
        <w:rPr>
          <w:rStyle w:val="rFootnRef"/>
        </w:rPr>
        <w:footnoteRef/>
      </w:r>
      <w:r>
        <w:t xml:space="preserve"> Lit. “body of flesh”</w:t>
      </w:r>
    </w:p>
  </w:footnote>
  <w:footnote w:id="31771">
    <w:p>
      <w:pPr>
        <w:pStyle w:val="rFootn"/>
      </w:pPr>
      <w:r>
        <w:rPr>
          <w:rStyle w:val="rFootnRef"/>
        </w:rPr>
        <w:footnoteRef/>
      </w:r>
      <w:r>
        <w:t xml:space="preserve"> “His” refers God</w:t>
      </w:r>
    </w:p>
  </w:footnote>
  <w:footnote w:id="31539">
    <w:p>
      <w:pPr>
        <w:pStyle w:val="rFootn"/>
      </w:pPr>
      <w:r>
        <w:rPr>
          <w:rStyle w:val="rFootnRef"/>
        </w:rPr>
        <w:footnoteRef/>
      </w:r>
      <w:r>
        <w:t xml:space="preserve"> “Faith” refers to the Christian Faith.</w:t>
      </w:r>
    </w:p>
  </w:footnote>
  <w:footnote w:id="27217">
    <w:p>
      <w:pPr>
        <w:pStyle w:val="rFootn"/>
      </w:pPr>
      <w:r>
        <w:rPr>
          <w:rStyle w:val="rFootnRef"/>
        </w:rPr>
        <w:footnoteRef/>
      </w:r>
      <w:r>
        <w:t xml:space="preserve"> Lit. “to fulfill”</w:t>
      </w:r>
    </w:p>
  </w:footnote>
  <w:footnote w:id="13508">
    <w:p>
      <w:pPr>
        <w:pStyle w:val="rFootn"/>
      </w:pPr>
      <w:r>
        <w:rPr>
          <w:rStyle w:val="rFootnRef"/>
        </w:rPr>
        <w:footnoteRef/>
      </w:r>
      <w:r>
        <w:t xml:space="preserve"> Or “counseling”</w:t>
      </w:r>
    </w:p>
  </w:footnote>
  <w:footnote w:id="25332">
    <w:p>
      <w:pPr>
        <w:pStyle w:val="rFootn"/>
      </w:pPr>
      <w:r>
        <w:rPr>
          <w:rStyle w:val="rFootnRef"/>
        </w:rPr>
        <w:footnoteRef/>
      </w:r>
      <w:r>
        <w:t xml:space="preserve"> Lit. “the Anointed One”</w:t>
      </w:r>
    </w:p>
  </w:footnote>
  <w:footnote w:id="10425">
    <w:p>
      <w:pPr>
        <w:pStyle w:val="rFootn"/>
      </w:pPr>
      <w:r>
        <w:rPr>
          <w:rStyle w:val="rFootnRef"/>
        </w:rPr>
        <w:footnoteRef/>
      </w:r>
      <w:r>
        <w:t xml:space="preserve"> “Faith” refers to the Christian Faith.</w:t>
      </w:r>
    </w:p>
  </w:footnote>
  <w:footnote w:id="32268">
    <w:p>
      <w:pPr>
        <w:pStyle w:val="rFootn"/>
      </w:pPr>
      <w:r>
        <w:rPr>
          <w:rStyle w:val="rFootnRef"/>
        </w:rPr>
        <w:footnoteRef/>
      </w:r>
      <w:r>
        <w:t xml:space="preserve"> Or “in </w:t>
      </w:r>
      <w:r>
        <w:rPr>
          <w:i/>
        </w:rPr>
        <w:t xml:space="preserve">union with</w:t>
      </w:r>
      <w:r>
        <w:t xml:space="preserve"> whom”</w:t>
      </w:r>
    </w:p>
  </w:footnote>
  <w:footnote w:id="26820">
    <w:p>
      <w:pPr>
        <w:pStyle w:val="rFootn"/>
      </w:pPr>
      <w:r>
        <w:rPr>
          <w:rStyle w:val="rFootnRef"/>
        </w:rPr>
        <w:footnoteRef/>
      </w:r>
      <w:r>
        <w:t xml:space="preserve"> “He” refers to God</w:t>
      </w:r>
    </w:p>
  </w:footnote>
  <w:footnote w:id="12216">
    <w:p>
      <w:pPr>
        <w:pStyle w:val="rFootn"/>
      </w:pPr>
      <w:r>
        <w:rPr>
          <w:rStyle w:val="rFootnRef"/>
        </w:rPr>
        <w:footnoteRef/>
      </w:r>
      <w:r>
        <w:t xml:space="preserve"> “He” refers to God</w:t>
      </w:r>
    </w:p>
  </w:footnote>
  <w:footnote w:id="15339">
    <w:p>
      <w:pPr>
        <w:pStyle w:val="rFootn"/>
      </w:pPr>
      <w:r>
        <w:rPr>
          <w:rStyle w:val="rFootnRef"/>
        </w:rPr>
        <w:footnoteRef/>
      </w:r>
      <w:r>
        <w:t xml:space="preserve"> Or “through him,” where “him” refers to Christ</w:t>
      </w:r>
    </w:p>
  </w:footnote>
  <w:footnote w:id="26912">
    <w:p>
      <w:pPr>
        <w:pStyle w:val="rFootn"/>
      </w:pPr>
      <w:r>
        <w:rPr>
          <w:rStyle w:val="rFootnRef"/>
        </w:rPr>
        <w:footnoteRef/>
      </w:r>
      <w:r>
        <w:t xml:space="preserve"> Or “taking his stand on”</w:t>
      </w:r>
    </w:p>
  </w:footnote>
  <w:footnote w:id="16206">
    <w:p>
      <w:pPr>
        <w:pStyle w:val="rFootn"/>
      </w:pPr>
      <w:r>
        <w:rPr>
          <w:rStyle w:val="rFootnRef"/>
        </w:rPr>
        <w:footnoteRef/>
      </w:r>
      <w:r>
        <w:t xml:space="preserve"> Lit. “the Anointed One”</w:t>
      </w:r>
    </w:p>
  </w:footnote>
  <w:footnote w:id="19816">
    <w:p>
      <w:pPr>
        <w:pStyle w:val="rFootn"/>
      </w:pPr>
      <w:r>
        <w:rPr>
          <w:rStyle w:val="rFootnRef"/>
        </w:rPr>
        <w:footnoteRef/>
      </w:r>
      <w:r>
        <w:t xml:space="preserve"> Lit. “sons of disobedience”</w:t>
      </w:r>
    </w:p>
  </w:footnote>
  <w:footnote w:id="15608">
    <w:p>
      <w:pPr>
        <w:pStyle w:val="rFootn"/>
      </w:pPr>
      <w:r>
        <w:rPr>
          <w:rStyle w:val="rFootnRef"/>
        </w:rPr>
        <w:footnoteRef/>
      </w:r>
      <w:r>
        <w:t xml:space="preserve"> Lit. “where”</w:t>
      </w:r>
    </w:p>
  </w:footnote>
  <w:footnote w:id="28414">
    <w:p>
      <w:pPr>
        <w:pStyle w:val="rFootn"/>
      </w:pPr>
      <w:r>
        <w:rPr>
          <w:rStyle w:val="rFootnRef"/>
        </w:rPr>
        <w:footnoteRef/>
      </w:r>
      <w:r>
        <w:t xml:space="preserve"> Lit. “bowels of mercy”</w:t>
      </w:r>
    </w:p>
  </w:footnote>
  <w:footnote w:id="30058">
    <w:p>
      <w:pPr>
        <w:pStyle w:val="rFootn"/>
      </w:pPr>
      <w:r>
        <w:rPr>
          <w:rStyle w:val="rFootnRef"/>
        </w:rPr>
        <w:footnoteRef/>
      </w:r>
      <w:r>
        <w:t xml:space="preserve"> Or “counseling”</w:t>
      </w:r>
    </w:p>
  </w:footnote>
  <w:footnote w:id="25641">
    <w:p>
      <w:pPr>
        <w:pStyle w:val="rFootn"/>
      </w:pPr>
      <w:r>
        <w:rPr>
          <w:rStyle w:val="rFootnRef"/>
        </w:rPr>
        <w:footnoteRef/>
      </w:r>
      <w:r>
        <w:t xml:space="preserve"> Lit. “lords according to the flesh”</w:t>
      </w:r>
    </w:p>
  </w:footnote>
  <w:footnote w:id="13265">
    <w:p>
      <w:pPr>
        <w:pStyle w:val="rFootn"/>
      </w:pPr>
      <w:r>
        <w:rPr>
          <w:rStyle w:val="rFootnRef"/>
        </w:rPr>
        <w:footnoteRef/>
      </w:r>
      <w:r>
        <w:t xml:space="preserve"> Lit. “not with eye-service as men-pleasers”</w:t>
      </w:r>
    </w:p>
  </w:footnote>
  <w:footnote w:id="12412">
    <w:p>
      <w:pPr>
        <w:pStyle w:val="rFootn"/>
      </w:pPr>
      <w:r>
        <w:rPr>
          <w:rStyle w:val="rFootnRef"/>
        </w:rPr>
        <w:footnoteRef/>
      </w:r>
      <w:r>
        <w:t xml:space="preserve"> Lit. “in singleness of heart”</w:t>
      </w:r>
    </w:p>
  </w:footnote>
  <w:footnote w:id="29566">
    <w:p>
      <w:pPr>
        <w:pStyle w:val="rFootn"/>
      </w:pPr>
      <w:r>
        <w:rPr>
          <w:rStyle w:val="rFootnRef"/>
        </w:rPr>
        <w:footnoteRef/>
      </w:r>
      <w:r>
        <w:t xml:space="preserve"> Lit. “lords,” the Greek is </w:t>
      </w:r>
      <w:r>
        <w:rPr>
          <w:i/>
        </w:rPr>
        <w:t xml:space="preserve">kurios</w:t>
      </w:r>
      <w:r>
        <w:t xml:space="preserve">.</w:t>
      </w:r>
    </w:p>
  </w:footnote>
  <w:footnote w:id="15817">
    <w:p>
      <w:pPr>
        <w:pStyle w:val="rFootn"/>
      </w:pPr>
      <w:r>
        <w:rPr>
          <w:rStyle w:val="rFootnRef"/>
        </w:rPr>
        <w:footnoteRef/>
      </w:r>
      <w:r>
        <w:t xml:space="preserve"> Lit. “the Anointed One”</w:t>
      </w:r>
    </w:p>
  </w:footnote>
  <w:footnote w:id="18829">
    <w:p>
      <w:pPr>
        <w:pStyle w:val="rFootn"/>
      </w:pPr>
      <w:r>
        <w:rPr>
          <w:rStyle w:val="rFootnRef"/>
        </w:rPr>
        <w:footnoteRef/>
      </w:r>
      <w:r>
        <w:t xml:space="preserve"> Or “deacon”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025310">
    <w:multiLevelType w:val="hybridMultilevel"/>
    <w:lvl w:ilvl="0" w:tplc="28518727">
      <w:start w:val="1"/>
      <w:numFmt w:val="decimal"/>
      <w:lvlText w:val="%1."/>
      <w:lvlJc w:val="left"/>
      <w:pPr>
        <w:ind w:left="720" w:hanging="360"/>
      </w:pPr>
    </w:lvl>
    <w:lvl w:ilvl="1" w:tplc="28518727" w:tentative="1">
      <w:start w:val="1"/>
      <w:numFmt w:val="lowerLetter"/>
      <w:lvlText w:val="%2."/>
      <w:lvlJc w:val="left"/>
      <w:pPr>
        <w:ind w:left="1440" w:hanging="360"/>
      </w:pPr>
    </w:lvl>
    <w:lvl w:ilvl="2" w:tplc="28518727" w:tentative="1">
      <w:start w:val="1"/>
      <w:numFmt w:val="lowerRoman"/>
      <w:lvlText w:val="%3."/>
      <w:lvlJc w:val="right"/>
      <w:pPr>
        <w:ind w:left="2160" w:hanging="180"/>
      </w:pPr>
    </w:lvl>
    <w:lvl w:ilvl="3" w:tplc="28518727" w:tentative="1">
      <w:start w:val="1"/>
      <w:numFmt w:val="decimal"/>
      <w:lvlText w:val="%4."/>
      <w:lvlJc w:val="left"/>
      <w:pPr>
        <w:ind w:left="2880" w:hanging="360"/>
      </w:pPr>
    </w:lvl>
    <w:lvl w:ilvl="4" w:tplc="28518727" w:tentative="1">
      <w:start w:val="1"/>
      <w:numFmt w:val="lowerLetter"/>
      <w:lvlText w:val="%5."/>
      <w:lvlJc w:val="left"/>
      <w:pPr>
        <w:ind w:left="3600" w:hanging="360"/>
      </w:pPr>
    </w:lvl>
    <w:lvl w:ilvl="5" w:tplc="28518727" w:tentative="1">
      <w:start w:val="1"/>
      <w:numFmt w:val="lowerRoman"/>
      <w:lvlText w:val="%6."/>
      <w:lvlJc w:val="right"/>
      <w:pPr>
        <w:ind w:left="4320" w:hanging="180"/>
      </w:pPr>
    </w:lvl>
    <w:lvl w:ilvl="6" w:tplc="28518727" w:tentative="1">
      <w:start w:val="1"/>
      <w:numFmt w:val="decimal"/>
      <w:lvlText w:val="%7."/>
      <w:lvlJc w:val="left"/>
      <w:pPr>
        <w:ind w:left="5040" w:hanging="360"/>
      </w:pPr>
    </w:lvl>
    <w:lvl w:ilvl="7" w:tplc="28518727" w:tentative="1">
      <w:start w:val="1"/>
      <w:numFmt w:val="lowerLetter"/>
      <w:lvlText w:val="%8."/>
      <w:lvlJc w:val="left"/>
      <w:pPr>
        <w:ind w:left="5760" w:hanging="360"/>
      </w:pPr>
    </w:lvl>
    <w:lvl w:ilvl="8" w:tplc="28518727" w:tentative="1">
      <w:start w:val="1"/>
      <w:numFmt w:val="lowerRoman"/>
      <w:lvlText w:val="%9."/>
      <w:lvlJc w:val="right"/>
      <w:pPr>
        <w:ind w:left="6480" w:hanging="180"/>
      </w:pPr>
    </w:lvl>
  </w:abstractNum>
  <w:abstractNum w:abstractNumId="20974">
    <w:multiLevelType w:val="hybridMultilevel"/>
    <w:lvl w:ilvl="0" w:tplc="816104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974">
    <w:abstractNumId w:val="20974"/>
  </w:num>
  <w:num w:numId="58025310">
    <w:abstractNumId w:val="580253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1023501" Type="http://schemas.openxmlformats.org/officeDocument/2006/relationships/numbering" Target="numbering.xml"/><Relationship Id="rId584610069" Type="http://schemas.openxmlformats.org/officeDocument/2006/relationships/comments" Target="comments.xml"/><Relationship Id="rId118567bb2e405dfa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