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0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rFootnRef"/>
        </w:rPr>
        <w:footnoteReference w:id="32482"/>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rFootnRef"/>
        </w:rPr>
        <w:footnoteReference w:id="22360"/>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expanse of the heavens.”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rFootnRef"/>
        </w:rPr>
        <w:footnoteReference w:id="14963"/>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rFootnRef"/>
        </w:rPr>
        <w:footnoteReference w:id="25854"/>
      </w:r>
      <w:r>
        <w:rPr/>
        <w:t xml:space="preserve"> the seventh day God finished his work that he had done, and he ceased on the seventh day from all his work that he had done. </w:t>
      </w:r>
      <w:r>
        <w:rPr>
          <w:rStyle w:val="rSupStyle"/>
          <w:vertAlign w:val="superscript"/>
        </w:rPr>
        <w:t xml:space="preserve">3</w:t>
      </w:r>
      <w:r>
        <w:rPr/>
        <w:t xml:space="preserve">And God blessed the seventh day and made it holy, because on it he ceased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rFootnRef"/>
        </w:rPr>
        <w:footnoteReference w:id="13179"/>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of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rFootnRef"/>
        </w:rPr>
        <w:footnoteReference w:id="19467"/>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rFootnRef"/>
        </w:rPr>
        <w:footnoteReference w:id="11709"/>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rFootnRef"/>
        </w:rPr>
        <w:footnoteReference w:id="28323"/>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rFootnRef"/>
        </w:rPr>
        <w:footnoteReference w:id="32026"/>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rFootnRef"/>
        </w:rPr>
        <w:footnoteReference w:id="20741"/>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rFootnRef"/>
              </w:rPr>
              <w:footnoteReference w:id="31777"/>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rFootnRef"/>
        </w:rPr>
        <w:footnoteReference w:id="28551"/>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rFootnRef"/>
        </w:rPr>
        <w:footnoteReference w:id="13865"/>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w:t>
      </w:r>
      <w:r>
        <w:rPr>
          <w:i/>
          <w:iCs/>
        </w:rPr>
        <w:t xml:space="preserve">he</w:t>
      </w:r>
      <w:r>
        <w:rPr/>
        <w:t xml:space="preserve">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rFootnRef"/>
        </w:rPr>
        <w:footnoteReference w:id="32487"/>
      </w:r>
      <w:r>
        <w:rPr/>
        <w:t xml:space="preserve"> its width 50 cubits,</w:t>
      </w:r>
      <w:r>
        <w:rPr>
          <w:rStyle w:val="rFootnRef"/>
        </w:rPr>
        <w:footnoteReference w:id="15182"/>
      </w:r>
      <w:r>
        <w:rPr/>
        <w:t xml:space="preserve"> and its height 30 cubits.</w:t>
      </w:r>
      <w:r>
        <w:rPr>
          <w:rStyle w:val="rFootnRef"/>
        </w:rPr>
        <w:footnoteReference w:id="19924"/>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rFootnRef"/>
        </w:rPr>
        <w:footnoteReference w:id="30118"/>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rFootnRef"/>
        </w:rPr>
        <w:footnoteReference w:id="17540"/>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rFootnRef"/>
        </w:rPr>
        <w:footnoteReference w:id="22704"/>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rFootnRef"/>
        </w:rPr>
        <w:footnoteReference w:id="20664"/>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thing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rFootnRef"/>
        </w:rPr>
        <w:footnoteReference w:id="19709"/>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earth—that they may increase abundantly</w:t>
      </w:r>
      <w:r>
        <w:rPr>
          <w:rStyle w:val="rFootnRef"/>
        </w:rPr>
        <w:footnoteReference w:id="31020"/>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pleasant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rFootnRef"/>
        </w:rPr>
        <w:footnoteReference w:id="31547"/>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rFootnRef"/>
        </w:rPr>
        <w:footnoteReference w:id="17256"/>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rFootnRef"/>
        </w:rPr>
        <w:footnoteReference w:id="24963"/>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for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was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rFootnRef"/>
        </w:rPr>
        <w:footnoteReference w:id="24708"/>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by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rFootnRef"/>
        </w:rPr>
        <w:footnoteReference w:id="12718"/>
      </w:r>
      <w:r>
        <w:rPr/>
        <w:t xml:space="preserve"> Lot, </w:t>
      </w:r>
      <w:r>
        <w:rPr>
          <w:i/>
          <w:iCs/>
        </w:rPr>
        <w:t xml:space="preserve">along with</w:t>
      </w:r>
      <w:r>
        <w:rPr/>
        <w:t xml:space="preserve"> all their possessions that they had gained and the people</w:t>
      </w:r>
      <w:r>
        <w:rPr>
          <w:rStyle w:val="rFootnRef"/>
        </w:rPr>
        <w:footnoteReference w:id="16755"/>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rFootnRef"/>
        </w:rPr>
        <w:footnoteReference w:id="26767"/>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rFootnRef"/>
        </w:rPr>
        <w:footnoteReference w:id="24592"/>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rFootnRef"/>
        </w:rPr>
        <w:footnoteReference w:id="30079"/>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rFootnRef"/>
        </w:rPr>
        <w:footnoteReference w:id="29058"/>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rFootnRef"/>
        </w:rPr>
        <w:footnoteReference w:id="25479"/>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rFootnRef"/>
        </w:rPr>
        <w:footnoteReference w:id="21841"/>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rFootnRef"/>
        </w:rPr>
        <w:footnoteReference w:id="23162"/>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rFootnRef"/>
        </w:rPr>
        <w:footnoteReference w:id="22220"/>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w:t>
      </w:r>
      <w:r>
        <w:rPr>
          <w:rStyle w:val="rFootnRef"/>
        </w:rPr>
        <w:footnoteReference w:id="14688"/>
      </w:r>
      <w:r>
        <w:rPr/>
        <w:t xml:space="preserve">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rFootnRef"/>
        </w:rPr>
        <w:footnoteReference w:id="25334"/>
      </w:r>
      <w:r>
        <w:rPr/>
        <w:t xml:space="preserve"> but your name will be Abraham,</w:t>
      </w:r>
      <w:r>
        <w:rPr>
          <w:rStyle w:val="rFootnRef"/>
        </w:rPr>
        <w:footnoteReference w:id="15668"/>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rFootnRef"/>
        </w:rPr>
        <w:footnoteReference w:id="29967"/>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rFootnRef"/>
        </w:rPr>
        <w:footnoteReference w:id="16294"/>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by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rFootnRef"/>
        </w:rPr>
        <w:footnoteReference w:id="30265"/>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up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By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rFootnRef"/>
        </w:rPr>
        <w:footnoteReference w:id="29327"/>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rFootnRef"/>
        </w:rPr>
        <w:footnoteReference w:id="11876"/>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rFootnRef"/>
        </w:rPr>
        <w:footnoteReference w:id="13466"/>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rFootnRef"/>
        </w:rPr>
        <w:footnoteReference w:id="30457"/>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rFootnRef"/>
        </w:rPr>
        <w:footnoteReference w:id="25909"/>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rFootnRef"/>
        </w:rPr>
        <w:footnoteReference w:id="31106"/>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rFootnRef"/>
        </w:rPr>
        <w:footnoteReference w:id="14362"/>
      </w:r>
      <w:r>
        <w:rPr/>
        <w:t xml:space="preserve"> and two bracelets weighing ten shekels</w:t>
      </w:r>
      <w:r>
        <w:rPr>
          <w:rStyle w:val="rFootnRef"/>
        </w:rPr>
        <w:footnoteReference w:id="17763"/>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rFootnRef"/>
        </w:rPr>
        <w:footnoteReference w:id="29080"/>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act with covenant faithfulness and truthfulness towards my lord,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by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rFootnRef"/>
        </w:rPr>
        <w:footnoteReference w:id="32386"/>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rFootnRef"/>
        </w:rPr>
        <w:footnoteReference w:id="17966"/>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rFootnRef"/>
              </w:rPr>
              <w:footnoteReference w:id="12252"/>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rFootnRef"/>
        </w:rPr>
        <w:footnoteReference w:id="28949"/>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By you and by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rFootnRef"/>
        </w:rPr>
        <w:footnoteReference w:id="17757"/>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rFootnRef"/>
        </w:rPr>
        <w:footnoteReference w:id="28017"/>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rFootnRef"/>
        </w:rPr>
        <w:footnoteReference w:id="16134"/>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rFootnRef"/>
        </w:rPr>
        <w:footnoteReference w:id="23756"/>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rFootnRef"/>
        </w:rPr>
        <w:footnoteReference w:id="22863"/>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rFootnRef"/>
        </w:rPr>
        <w:footnoteReference w:id="22341"/>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rFootnRef"/>
        </w:rPr>
        <w:footnoteReference w:id="17470"/>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rFootnRef"/>
        </w:rPr>
        <w:footnoteReference w:id="22630"/>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rFootnRef"/>
        </w:rPr>
        <w:footnoteReference w:id="18498"/>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rFootnRef"/>
        </w:rPr>
        <w:footnoteReference w:id="17174"/>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rFootnRef"/>
        </w:rPr>
        <w:footnoteReference w:id="13006"/>
      </w:r>
      <w:r>
        <w:rPr/>
        <w:t xml:space="preserve"> with the present that goes ahead of me;</w:t>
      </w:r>
      <w:r>
        <w:rPr>
          <w:rStyle w:val="rFootnRef"/>
        </w:rPr>
        <w:footnoteReference w:id="11124"/>
      </w:r>
      <w:r>
        <w:rPr/>
        <w:t xml:space="preserve"> and afterward I will see his face. Perhaps he will accept me.”</w:t>
      </w:r>
      <w:r>
        <w:rPr>
          <w:rStyle w:val="rFootnRef"/>
        </w:rPr>
        <w:footnoteReference w:id="23528"/>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rFootnRef"/>
        </w:rPr>
        <w:footnoteReference w:id="15767"/>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rFootnRef"/>
        </w:rPr>
        <w:footnoteReference w:id="15993"/>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rFootnRef"/>
        </w:rPr>
        <w:footnoteReference w:id="11792"/>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rFootnRef"/>
        </w:rPr>
        <w:footnoteReference w:id="23490"/>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rFootnRef"/>
        </w:rPr>
        <w:footnoteReference w:id="19574"/>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rFootnRef"/>
        </w:rPr>
        <w:footnoteReference w:id="21869"/>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rFootnRef"/>
        </w:rPr>
        <w:footnoteReference w:id="22466"/>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rFootnRef"/>
        </w:rPr>
        <w:footnoteReference w:id="23032"/>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rFootnRef"/>
        </w:rPr>
        <w:footnoteReference w:id="26690"/>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rFootnRef"/>
        </w:rPr>
        <w:footnoteReference w:id="25984"/>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rFootnRef"/>
              </w:rPr>
              <w:footnoteReference w:id="10266"/>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rFootnRef"/>
        </w:rPr>
        <w:footnoteReference w:id="16169"/>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rFootnRef"/>
        </w:rPr>
        <w:footnoteReference w:id="27664"/>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more righteous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rFootnRef"/>
        </w:rPr>
        <w:footnoteReference w:id="12804"/>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rFootnRef"/>
        </w:rPr>
        <w:footnoteReference w:id="25338"/>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rFootnRef"/>
        </w:rPr>
        <w:footnoteReference w:id="29458"/>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rFootnRef"/>
        </w:rPr>
        <w:footnoteReference w:id="31161"/>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rFootnRef"/>
        </w:rPr>
        <w:footnoteReference w:id="26015"/>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rFootnRef"/>
        </w:rPr>
        <w:footnoteReference w:id="21891"/>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rFootnRef"/>
        </w:rPr>
        <w:footnoteReference w:id="27751"/>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rFootnRef"/>
              </w:rPr>
              <w:footnoteReference w:id="26800"/>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rFootnRef"/>
        </w:rPr>
        <w:footnoteReference w:id="25685"/>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rFootnRef"/>
        </w:rPr>
        <w:footnoteReference w:id="13123"/>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faithfully and truly with me.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rFootnRef"/>
        </w:rPr>
        <w:footnoteReference w:id="30468"/>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rFootnRef"/>
        </w:rPr>
        <w:footnoteReference w:id="28409"/>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rFootnRef"/>
        </w:rPr>
        <w:footnoteReference w:id="17949"/>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rFootnRef"/>
              </w:rPr>
              <w:footnoteReference w:id="22290"/>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rFootnRef"/>
              </w:rPr>
              <w:footnoteReference w:id="10132"/>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rFootnRef"/>
              </w:rPr>
              <w:footnoteReference w:id="17245"/>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rFootnRef"/>
        </w:rPr>
        <w:footnoteReference w:id="27867"/>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310767bb2e0e846d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8952217"/>
      <w:docPartObj>
        <w:docPartGallery w:val="Page Numbers (Bottom of Page)"/>
        <w:docPartUnique/>
      </w:docPartObj>
    </w:sdtPr>
    <w:sdtContent>
      <w:sdt>
        <w:sdtPr>
          <w:id w:val="6274744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482">
    <w:p>
      <w:pPr>
        <w:pStyle w:val="rFootn"/>
      </w:pPr>
      <w:r>
        <w:rPr>
          <w:rStyle w:val="rFootnRef"/>
        </w:rPr>
        <w:footnoteRef/>
      </w:r>
      <w:r>
        <w:t xml:space="preserve"> Or “land”</w:t>
      </w:r>
    </w:p>
  </w:footnote>
  <w:footnote w:id="22360">
    <w:p>
      <w:pPr>
        <w:pStyle w:val="rFootn"/>
      </w:pPr>
      <w:r>
        <w:rPr>
          <w:rStyle w:val="rFootnRef"/>
        </w:rPr>
        <w:footnoteRef/>
      </w:r>
      <w:r>
        <w:t xml:space="preserve"> Or “appointed times”</w:t>
      </w:r>
    </w:p>
  </w:footnote>
  <w:footnote w:id="14963">
    <w:p>
      <w:pPr>
        <w:pStyle w:val="rFootn"/>
      </w:pPr>
      <w:r>
        <w:rPr>
          <w:rStyle w:val="rFootnRef"/>
        </w:rPr>
        <w:footnoteRef/>
      </w:r>
      <w:r>
        <w:t xml:space="preserve"> The “you” is plural.</w:t>
      </w:r>
    </w:p>
  </w:footnote>
  <w:footnote w:id="25854">
    <w:p>
      <w:pPr>
        <w:pStyle w:val="rFootn"/>
      </w:pPr>
      <w:r>
        <w:rPr>
          <w:rStyle w:val="rFootnRef"/>
        </w:rPr>
        <w:footnoteRef/>
      </w:r>
      <w:r>
        <w:t xml:space="preserve"> Or “On”</w:t>
      </w:r>
    </w:p>
  </w:footnote>
  <w:footnote w:id="13179">
    <w:p>
      <w:pPr>
        <w:pStyle w:val="rFootn"/>
      </w:pPr>
      <w:r>
        <w:rPr>
          <w:rStyle w:val="rFootnRef"/>
        </w:rPr>
        <w:footnoteRef/>
      </w:r>
      <w:r>
        <w:t xml:space="preserve"> Or “mist”</w:t>
      </w:r>
    </w:p>
  </w:footnote>
  <w:footnote w:id="19467">
    <w:p>
      <w:pPr>
        <w:pStyle w:val="rFootn"/>
      </w:pPr>
      <w:r>
        <w:rPr>
          <w:rStyle w:val="rFootnRef"/>
        </w:rPr>
        <w:footnoteRef/>
      </w:r>
      <w:r>
        <w:t xml:space="preserve"> The Tigris River</w:t>
      </w:r>
    </w:p>
  </w:footnote>
  <w:footnote w:id="11709">
    <w:p>
      <w:pPr>
        <w:pStyle w:val="rFootn"/>
      </w:pPr>
      <w:r>
        <w:rPr>
          <w:rStyle w:val="rFootnRef"/>
        </w:rPr>
        <w:footnoteRef/>
      </w:r>
      <w:r>
        <w:t xml:space="preserve"> Septuagint is “paradise”</w:t>
      </w:r>
    </w:p>
  </w:footnote>
  <w:footnote w:id="28323">
    <w:p>
      <w:pPr>
        <w:pStyle w:val="rFootn"/>
      </w:pPr>
      <w:r>
        <w:rPr>
          <w:rStyle w:val="rFootnRef"/>
        </w:rPr>
        <w:footnoteRef/>
      </w:r>
      <w:r>
        <w:t xml:space="preserve"> Or “when”</w:t>
      </w:r>
    </w:p>
  </w:footnote>
  <w:footnote w:id="32026">
    <w:p>
      <w:pPr>
        <w:pStyle w:val="rFootn"/>
      </w:pPr>
      <w:r>
        <w:rPr>
          <w:rStyle w:val="rFootnRef"/>
        </w:rPr>
        <w:footnoteRef/>
      </w:r>
      <w:r>
        <w:t xml:space="preserve"> Literally, die, yes, die, the Devil quoted God (Gen. 2:17).</w:t>
      </w:r>
    </w:p>
  </w:footnote>
  <w:footnote w:id="20741">
    <w:p>
      <w:pPr>
        <w:pStyle w:val="rFootn"/>
      </w:pPr>
      <w:r>
        <w:rPr>
          <w:rStyle w:val="rFootnRef"/>
        </w:rPr>
        <w:footnoteRef/>
      </w:r>
      <w:r>
        <w:t xml:space="preserve"> Or “like gods”</w:t>
      </w:r>
    </w:p>
  </w:footnote>
  <w:footnote w:id="31777">
    <w:p>
      <w:pPr>
        <w:pStyle w:val="rFootn"/>
      </w:pPr>
      <w:r>
        <w:rPr>
          <w:rStyle w:val="rFootnRef"/>
        </w:rPr>
        <w:footnoteRef/>
      </w:r>
      <w:r>
        <w:t xml:space="preserve"> Or “offspring”</w:t>
      </w:r>
    </w:p>
  </w:footnote>
  <w:footnote w:id="28551">
    <w:p>
      <w:pPr>
        <w:pStyle w:val="rFootn"/>
      </w:pPr>
      <w:r>
        <w:rPr>
          <w:rStyle w:val="rFootnRef"/>
        </w:rPr>
        <w:footnoteRef/>
      </w:r>
      <w:r>
        <w:t xml:space="preserve"> Lit. “a lifting up,” thus “accepted; forgiven”</w:t>
      </w:r>
    </w:p>
  </w:footnote>
  <w:footnote w:id="13865">
    <w:p>
      <w:pPr>
        <w:pStyle w:val="rFootn"/>
      </w:pPr>
      <w:r>
        <w:rPr>
          <w:rStyle w:val="rFootnRef"/>
        </w:rPr>
        <w:footnoteRef/>
      </w:r>
      <w:r>
        <w:t xml:space="preserve"> Supplied from the LXX and Aramaic</w:t>
      </w:r>
    </w:p>
  </w:footnote>
  <w:footnote w:id="32487">
    <w:p>
      <w:pPr>
        <w:pStyle w:val="rFootn"/>
      </w:pPr>
      <w:r>
        <w:rPr>
          <w:rStyle w:val="rFootnRef"/>
        </w:rPr>
        <w:footnoteRef/>
      </w:r>
      <w:r>
        <w:t xml:space="preserve"> 450 feet (137 meters)</w:t>
      </w:r>
    </w:p>
  </w:footnote>
  <w:footnote w:id="15182">
    <w:p>
      <w:pPr>
        <w:pStyle w:val="rFootn"/>
      </w:pPr>
      <w:r>
        <w:rPr>
          <w:rStyle w:val="rFootnRef"/>
        </w:rPr>
        <w:footnoteRef/>
      </w:r>
      <w:r>
        <w:t xml:space="preserve"> 75 feet (22.8 meters)</w:t>
      </w:r>
    </w:p>
  </w:footnote>
  <w:footnote w:id="19924">
    <w:p>
      <w:pPr>
        <w:pStyle w:val="rFootn"/>
      </w:pPr>
      <w:r>
        <w:rPr>
          <w:rStyle w:val="rFootnRef"/>
        </w:rPr>
        <w:footnoteRef/>
      </w:r>
      <w:r>
        <w:t xml:space="preserve"> 45 feet (13.7 meters)</w:t>
      </w:r>
    </w:p>
  </w:footnote>
  <w:footnote w:id="30118">
    <w:p>
      <w:pPr>
        <w:pStyle w:val="rFootn"/>
      </w:pPr>
      <w:r>
        <w:rPr>
          <w:rStyle w:val="rFootnRef"/>
        </w:rPr>
        <w:footnoteRef/>
      </w:r>
      <w:r>
        <w:t xml:space="preserve"> Lit. “seven seven”</w:t>
      </w:r>
    </w:p>
  </w:footnote>
  <w:footnote w:id="17540">
    <w:p>
      <w:pPr>
        <w:pStyle w:val="rFootn"/>
      </w:pPr>
      <w:r>
        <w:rPr>
          <w:rStyle w:val="rFootnRef"/>
        </w:rPr>
        <w:footnoteRef/>
      </w:r>
      <w:r>
        <w:t xml:space="preserve"> Lit. “seven seven”</w:t>
      </w:r>
    </w:p>
  </w:footnote>
  <w:footnote w:id="22704">
    <w:p>
      <w:pPr>
        <w:pStyle w:val="rFootn"/>
      </w:pPr>
      <w:r>
        <w:rPr>
          <w:rStyle w:val="rFootnRef"/>
        </w:rPr>
        <w:footnoteRef/>
      </w:r>
      <w:r>
        <w:t xml:space="preserve"> Lit. “face”</w:t>
      </w:r>
    </w:p>
  </w:footnote>
  <w:footnote w:id="20664">
    <w:p>
      <w:pPr>
        <w:pStyle w:val="rFootn"/>
      </w:pPr>
      <w:r>
        <w:rPr>
          <w:rStyle w:val="rFootnRef"/>
        </w:rPr>
        <w:footnoteRef/>
      </w:r>
      <w:r>
        <w:t xml:space="preserve"> Lit. “went”</w:t>
      </w:r>
    </w:p>
  </w:footnote>
  <w:footnote w:id="19709">
    <w:p>
      <w:pPr>
        <w:pStyle w:val="rFootn"/>
      </w:pPr>
      <w:r>
        <w:rPr>
          <w:rStyle w:val="rFootnRef"/>
        </w:rPr>
        <w:footnoteRef/>
      </w:r>
      <w:r>
        <w:t xml:space="preserve"> Meaning “surface”</w:t>
      </w:r>
    </w:p>
  </w:footnote>
  <w:footnote w:id="31020">
    <w:p>
      <w:pPr>
        <w:pStyle w:val="rFootn"/>
      </w:pPr>
      <w:r>
        <w:rPr>
          <w:rStyle w:val="rFootnRef"/>
        </w:rPr>
        <w:footnoteRef/>
      </w:r>
      <w:r>
        <w:t xml:space="preserve"> Lit. “swarm” (cf. Gen. 1:20, 21)</w:t>
      </w:r>
    </w:p>
  </w:footnote>
  <w:footnote w:id="31547">
    <w:p>
      <w:pPr>
        <w:pStyle w:val="rFootn"/>
      </w:pPr>
      <w:r>
        <w:rPr>
          <w:rStyle w:val="rFootnRef"/>
        </w:rPr>
        <w:footnoteRef/>
      </w:r>
      <w:r>
        <w:t xml:space="preserve"> “Offspring,” “descendants”</w:t>
      </w:r>
    </w:p>
  </w:footnote>
  <w:footnote w:id="17256">
    <w:p>
      <w:pPr>
        <w:pStyle w:val="rFootn"/>
      </w:pPr>
      <w:r>
        <w:rPr>
          <w:rStyle w:val="rFootnRef"/>
        </w:rPr>
        <w:footnoteRef/>
      </w:r>
      <w:r>
        <w:t xml:space="preserve"> The Hebrew word can also mean “islands.”</w:t>
      </w:r>
    </w:p>
  </w:footnote>
  <w:footnote w:id="24963">
    <w:p>
      <w:pPr>
        <w:pStyle w:val="rFootn"/>
      </w:pPr>
      <w:r>
        <w:rPr>
          <w:rStyle w:val="rFootnRef"/>
        </w:rPr>
        <w:footnoteRef/>
      </w:r>
      <w:r>
        <w:t xml:space="preserve"> Or “in the face of,” i.e., “in defiance of”</w:t>
      </w:r>
    </w:p>
  </w:footnote>
  <w:footnote w:id="24708">
    <w:p>
      <w:pPr>
        <w:pStyle w:val="rFootn"/>
      </w:pPr>
      <w:r>
        <w:rPr>
          <w:rStyle w:val="rFootnRef"/>
        </w:rPr>
        <w:footnoteRef/>
      </w:r>
      <w:r>
        <w:t xml:space="preserve"> Lit. “his son’s son”</w:t>
      </w:r>
    </w:p>
  </w:footnote>
  <w:footnote w:id="12718">
    <w:p>
      <w:pPr>
        <w:pStyle w:val="rFootn"/>
      </w:pPr>
      <w:r>
        <w:rPr>
          <w:rStyle w:val="rFootnRef"/>
        </w:rPr>
        <w:footnoteRef/>
      </w:r>
      <w:r>
        <w:t xml:space="preserve"> Lit. “brother’s son”</w:t>
      </w:r>
    </w:p>
  </w:footnote>
  <w:footnote w:id="16755">
    <w:p>
      <w:pPr>
        <w:pStyle w:val="rFootn"/>
      </w:pPr>
      <w:r>
        <w:rPr>
          <w:rStyle w:val="rFootnRef"/>
        </w:rPr>
        <w:footnoteRef/>
      </w:r>
      <w:r>
        <w:t xml:space="preserve"> Lit. “soul”; a collective singular for “souls”; people</w:t>
      </w:r>
    </w:p>
  </w:footnote>
  <w:footnote w:id="26767">
    <w:p>
      <w:pPr>
        <w:pStyle w:val="rFootn"/>
      </w:pPr>
      <w:r>
        <w:rPr>
          <w:rStyle w:val="rFootnRef"/>
        </w:rPr>
        <w:footnoteRef/>
      </w:r>
      <w:r>
        <w:t xml:space="preserve"> Lit. “he,” here referring to Abram</w:t>
      </w:r>
    </w:p>
  </w:footnote>
  <w:footnote w:id="24592">
    <w:p>
      <w:pPr>
        <w:pStyle w:val="rFootn"/>
      </w:pPr>
      <w:r>
        <w:rPr>
          <w:rStyle w:val="rFootnRef"/>
        </w:rPr>
        <w:footnoteRef/>
      </w:r>
      <w:r>
        <w:t xml:space="preserve"> Perhaps more literally, “threw themselves into them”</w:t>
      </w:r>
    </w:p>
  </w:footnote>
  <w:footnote w:id="30079">
    <w:p>
      <w:pPr>
        <w:pStyle w:val="rFootn"/>
      </w:pPr>
      <w:r>
        <w:rPr>
          <w:rStyle w:val="rFootnRef"/>
        </w:rPr>
        <w:footnoteRef/>
      </w:r>
      <w:r>
        <w:t xml:space="preserve"> Lit. “on the left hand,” meaning north</w:t>
      </w:r>
    </w:p>
  </w:footnote>
  <w:footnote w:id="29058">
    <w:p>
      <w:pPr>
        <w:pStyle w:val="rFootn"/>
      </w:pPr>
      <w:r>
        <w:rPr>
          <w:rStyle w:val="rFootnRef"/>
        </w:rPr>
        <w:footnoteRef/>
      </w:r>
      <w:r>
        <w:t xml:space="preserve"> Lit. “walk” or “go,” referring to living life</w:t>
      </w:r>
    </w:p>
  </w:footnote>
  <w:footnote w:id="25479">
    <w:p>
      <w:pPr>
        <w:pStyle w:val="rFootn"/>
      </w:pPr>
      <w:r>
        <w:rPr>
          <w:rStyle w:val="rFootnRef"/>
        </w:rPr>
        <w:footnoteRef/>
      </w:r>
      <w:r>
        <w:t xml:space="preserve"> Lit. “a son of my house”</w:t>
      </w:r>
    </w:p>
  </w:footnote>
  <w:footnote w:id="21841">
    <w:p>
      <w:pPr>
        <w:pStyle w:val="rFootn"/>
      </w:pPr>
      <w:r>
        <w:rPr>
          <w:rStyle w:val="rFootnRef"/>
        </w:rPr>
        <w:footnoteRef/>
      </w:r>
      <w:r>
        <w:t xml:space="preserve"> Or “trusted”</w:t>
      </w:r>
    </w:p>
  </w:footnote>
  <w:footnote w:id="23162">
    <w:p>
      <w:pPr>
        <w:pStyle w:val="rFootn"/>
      </w:pPr>
      <w:r>
        <w:rPr>
          <w:rStyle w:val="rFootnRef"/>
        </w:rPr>
        <w:footnoteRef/>
      </w:r>
      <w:r>
        <w:t xml:space="preserve"> Or “to inherit it”</w:t>
      </w:r>
    </w:p>
  </w:footnote>
  <w:footnote w:id="22220">
    <w:p>
      <w:pPr>
        <w:pStyle w:val="rFootn"/>
      </w:pPr>
      <w:r>
        <w:rPr>
          <w:rStyle w:val="rFootnRef"/>
        </w:rPr>
        <w:footnoteRef/>
      </w:r>
      <w:r>
        <w:t xml:space="preserve"> Lit. “go to,” an idiom for sexual intercourse</w:t>
      </w:r>
    </w:p>
  </w:footnote>
  <w:footnote w:id="14688">
    <w:p>
      <w:pPr>
        <w:pStyle w:val="rFootn"/>
      </w:pPr>
      <w:r>
        <w:rPr>
          <w:rStyle w:val="rFootnRef"/>
        </w:rPr>
        <w:footnoteRef/>
      </w:r>
      <w:r>
        <w:t xml:space="preserve"> Traditionally “God Almighty”</w:t>
      </w:r>
    </w:p>
  </w:footnote>
  <w:footnote w:id="25334">
    <w:p>
      <w:pPr>
        <w:pStyle w:val="rFootn"/>
      </w:pPr>
      <w:r>
        <w:rPr>
          <w:rStyle w:val="rFootnRef"/>
        </w:rPr>
        <w:footnoteRef/>
      </w:r>
      <w:r>
        <w:t xml:space="preserve"> “Abram” means “Exalted father”</w:t>
      </w:r>
    </w:p>
  </w:footnote>
  <w:footnote w:id="15668">
    <w:p>
      <w:pPr>
        <w:pStyle w:val="rFootn"/>
      </w:pPr>
      <w:r>
        <w:rPr>
          <w:rStyle w:val="rFootnRef"/>
        </w:rPr>
        <w:footnoteRef/>
      </w:r>
      <w:r>
        <w:t xml:space="preserve"> “Abraham” means “Father of a multitude”</w:t>
      </w:r>
    </w:p>
  </w:footnote>
  <w:footnote w:id="29967">
    <w:p>
      <w:pPr>
        <w:pStyle w:val="rFootn"/>
      </w:pPr>
      <w:r>
        <w:rPr>
          <w:rStyle w:val="rFootnRef"/>
        </w:rPr>
        <w:footnoteRef/>
      </w:r>
      <w:r>
        <w:t xml:space="preserve"> Heb. “nephesh,” “soul”</w:t>
      </w:r>
    </w:p>
  </w:footnote>
  <w:footnote w:id="16294">
    <w:p>
      <w:pPr>
        <w:pStyle w:val="rFootn"/>
      </w:pPr>
      <w:r>
        <w:rPr>
          <w:rStyle w:val="rFootnRef"/>
        </w:rPr>
        <w:footnoteRef/>
      </w:r>
      <w:r>
        <w:t xml:space="preserve"> About 21 quarts (20 liters)</w:t>
      </w:r>
    </w:p>
  </w:footnote>
  <w:footnote w:id="30265">
    <w:p>
      <w:pPr>
        <w:pStyle w:val="rFootn"/>
      </w:pPr>
      <w:r>
        <w:rPr>
          <w:rStyle w:val="rFootnRef"/>
        </w:rPr>
        <w:footnoteRef/>
      </w:r>
      <w:r>
        <w:t xml:space="preserve"> Or “small and great”</w:t>
      </w:r>
    </w:p>
  </w:footnote>
  <w:footnote w:id="29327">
    <w:p>
      <w:pPr>
        <w:pStyle w:val="rFootn"/>
      </w:pPr>
      <w:r>
        <w:rPr>
          <w:rStyle w:val="rFootnRef"/>
        </w:rPr>
        <w:footnoteRef/>
      </w:r>
      <w:r>
        <w:t xml:space="preserve"> Or “burying place”</w:t>
      </w:r>
    </w:p>
  </w:footnote>
  <w:footnote w:id="11876">
    <w:p>
      <w:pPr>
        <w:pStyle w:val="rFootn"/>
      </w:pPr>
      <w:r>
        <w:rPr>
          <w:rStyle w:val="rFootnRef"/>
        </w:rPr>
        <w:footnoteRef/>
      </w:r>
      <w:r>
        <w:t xml:space="preserve"> Or “ruler exalted by God”</w:t>
      </w:r>
    </w:p>
  </w:footnote>
  <w:footnote w:id="13466">
    <w:p>
      <w:pPr>
        <w:pStyle w:val="rFootn"/>
      </w:pPr>
      <w:r>
        <w:rPr>
          <w:rStyle w:val="rFootnRef"/>
        </w:rPr>
        <w:footnoteRef/>
      </w:r>
      <w:r>
        <w:t xml:space="preserve"> Roughly ten pounds (4.5 kilograms)</w:t>
      </w:r>
    </w:p>
  </w:footnote>
  <w:footnote w:id="30457">
    <w:p>
      <w:pPr>
        <w:pStyle w:val="rFootn"/>
      </w:pPr>
      <w:r>
        <w:rPr>
          <w:rStyle w:val="rFootnRef"/>
        </w:rPr>
        <w:footnoteRef/>
      </w:r>
      <w:r>
        <w:t xml:space="preserve"> Lit. “before Mamre”</w:t>
      </w:r>
    </w:p>
  </w:footnote>
  <w:footnote w:id="25909">
    <w:p>
      <w:pPr>
        <w:pStyle w:val="rFootn"/>
      </w:pPr>
      <w:r>
        <w:rPr>
          <w:rStyle w:val="rFootnRef"/>
        </w:rPr>
        <w:footnoteRef/>
      </w:r>
      <w:r>
        <w:t xml:space="preserve"> Lit. “before Mamre”</w:t>
      </w:r>
    </w:p>
  </w:footnote>
  <w:footnote w:id="31106">
    <w:p>
      <w:pPr>
        <w:pStyle w:val="rFootn"/>
      </w:pPr>
      <w:r>
        <w:rPr>
          <w:rStyle w:val="rFootnRef"/>
        </w:rPr>
        <w:footnoteRef/>
      </w:r>
      <w:r>
        <w:t xml:space="preserve"> Or “the land of my relatives”</w:t>
      </w:r>
    </w:p>
  </w:footnote>
  <w:footnote w:id="14362">
    <w:p>
      <w:pPr>
        <w:pStyle w:val="rFootn"/>
      </w:pPr>
      <w:r>
        <w:rPr>
          <w:rStyle w:val="rFootnRef"/>
        </w:rPr>
        <w:footnoteRef/>
      </w:r>
      <w:r>
        <w:t xml:space="preserve"> A shekel was roughly .4 ounces (11.4 grams)</w:t>
      </w:r>
    </w:p>
  </w:footnote>
  <w:footnote w:id="17763">
    <w:p>
      <w:pPr>
        <w:pStyle w:val="rFootn"/>
      </w:pPr>
      <w:r>
        <w:rPr>
          <w:rStyle w:val="rFootnRef"/>
        </w:rPr>
        <w:footnoteRef/>
      </w:r>
      <w:r>
        <w:t xml:space="preserve"> Roughly 4 ounces (113 grams)</w:t>
      </w:r>
    </w:p>
  </w:footnote>
  <w:footnote w:id="29080">
    <w:p>
      <w:pPr>
        <w:pStyle w:val="rFootn"/>
      </w:pPr>
      <w:r>
        <w:rPr>
          <w:rStyle w:val="rFootnRef"/>
        </w:rPr>
        <w:footnoteRef/>
      </w:r>
      <w:r>
        <w:t xml:space="preserve"> Or “bowed down before”</w:t>
      </w:r>
    </w:p>
  </w:footnote>
  <w:footnote w:id="32386">
    <w:p>
      <w:pPr>
        <w:pStyle w:val="rFootn"/>
      </w:pPr>
      <w:r>
        <w:rPr>
          <w:rStyle w:val="rFootnRef"/>
        </w:rPr>
        <w:footnoteRef/>
      </w:r>
      <w:r>
        <w:t xml:space="preserve"> Lit. “living water”</w:t>
      </w:r>
    </w:p>
  </w:footnote>
  <w:footnote w:id="17966">
    <w:p>
      <w:pPr>
        <w:pStyle w:val="rFootn"/>
      </w:pPr>
      <w:r>
        <w:rPr>
          <w:rStyle w:val="rFootnRef"/>
        </w:rPr>
        <w:footnoteRef/>
      </w:r>
      <w:r>
        <w:t xml:space="preserve"> Lit. “a bitterness of spirit”</w:t>
      </w:r>
    </w:p>
  </w:footnote>
  <w:footnote w:id="12252">
    <w:p>
      <w:pPr>
        <w:pStyle w:val="rFootn"/>
      </w:pPr>
      <w:r>
        <w:rPr>
          <w:rStyle w:val="rFootnRef"/>
        </w:rPr>
        <w:footnoteRef/>
      </w:r>
      <w:r>
        <w:t xml:space="preserve"> Or “from” (2x)</w:t>
      </w:r>
    </w:p>
  </w:footnote>
  <w:footnote w:id="28949">
    <w:p>
      <w:pPr>
        <w:pStyle w:val="rFootn"/>
      </w:pPr>
      <w:r>
        <w:rPr>
          <w:rStyle w:val="rFootnRef"/>
        </w:rPr>
        <w:footnoteRef/>
      </w:r>
      <w:r>
        <w:t xml:space="preserve"> Traditionally “God Almighty”</w:t>
      </w:r>
    </w:p>
  </w:footnote>
  <w:footnote w:id="17757">
    <w:p>
      <w:pPr>
        <w:pStyle w:val="rFootn"/>
      </w:pPr>
      <w:r>
        <w:rPr>
          <w:rStyle w:val="rFootnRef"/>
        </w:rPr>
        <w:footnoteRef/>
      </w:r>
      <w:r>
        <w:t xml:space="preserve"> Or “frightening”</w:t>
      </w:r>
    </w:p>
  </w:footnote>
  <w:footnote w:id="28017">
    <w:p>
      <w:pPr>
        <w:pStyle w:val="rFootn"/>
      </w:pPr>
      <w:r>
        <w:rPr>
          <w:rStyle w:val="rFootnRef"/>
        </w:rPr>
        <w:footnoteRef/>
      </w:r>
      <w:r>
        <w:t xml:space="preserve"> “Bethel” means “house of God.”</w:t>
      </w:r>
    </w:p>
  </w:footnote>
  <w:footnote w:id="16134">
    <w:p>
      <w:pPr>
        <w:pStyle w:val="rFootn"/>
      </w:pPr>
      <w:r>
        <w:rPr>
          <w:rStyle w:val="rFootnRef"/>
        </w:rPr>
        <w:footnoteRef/>
      </w:r>
      <w:r>
        <w:t xml:space="preserve"> Or “In wrestling with God”</w:t>
      </w:r>
    </w:p>
  </w:footnote>
  <w:footnote w:id="23756">
    <w:p>
      <w:pPr>
        <w:pStyle w:val="rFootn"/>
      </w:pPr>
      <w:r>
        <w:rPr>
          <w:rStyle w:val="rFootnRef"/>
        </w:rPr>
        <w:footnoteRef/>
      </w:r>
      <w:r>
        <w:t xml:space="preserve"> Laban</w:t>
      </w:r>
    </w:p>
  </w:footnote>
  <w:footnote w:id="22863">
    <w:p>
      <w:pPr>
        <w:pStyle w:val="rFootn"/>
      </w:pPr>
      <w:r>
        <w:rPr>
          <w:rStyle w:val="rFootnRef"/>
        </w:rPr>
        <w:footnoteRef/>
      </w:r>
      <w:r>
        <w:t xml:space="preserve"> Or “by means of”</w:t>
      </w:r>
    </w:p>
  </w:footnote>
  <w:footnote w:id="22341">
    <w:p>
      <w:pPr>
        <w:pStyle w:val="rFootn"/>
      </w:pPr>
      <w:r>
        <w:rPr>
          <w:rStyle w:val="rFootnRef"/>
        </w:rPr>
        <w:footnoteRef/>
      </w:r>
      <w:r>
        <w:t xml:space="preserve"> Or “birthplace”</w:t>
      </w:r>
    </w:p>
  </w:footnote>
  <w:footnote w:id="17470">
    <w:p>
      <w:pPr>
        <w:pStyle w:val="rFootn"/>
      </w:pPr>
      <w:r>
        <w:rPr>
          <w:rStyle w:val="rFootnRef"/>
        </w:rPr>
        <w:footnoteRef/>
      </w:r>
      <w:r>
        <w:t xml:space="preserve"> Teraphim were household gods.</w:t>
      </w:r>
    </w:p>
  </w:footnote>
  <w:footnote w:id="22630">
    <w:p>
      <w:pPr>
        <w:pStyle w:val="rFootn"/>
      </w:pPr>
      <w:r>
        <w:rPr>
          <w:rStyle w:val="rFootnRef"/>
        </w:rPr>
        <w:footnoteRef/>
      </w:r>
      <w:r>
        <w:t xml:space="preserve"> Teraphim were household gods.</w:t>
      </w:r>
    </w:p>
  </w:footnote>
  <w:footnote w:id="18498">
    <w:p>
      <w:pPr>
        <w:pStyle w:val="rFootn"/>
      </w:pPr>
      <w:r>
        <w:rPr>
          <w:rStyle w:val="rFootnRef"/>
        </w:rPr>
        <w:footnoteRef/>
      </w:r>
      <w:r>
        <w:t xml:space="preserve"> Lit. “from my hand you required it”</w:t>
      </w:r>
    </w:p>
  </w:footnote>
  <w:footnote w:id="17174">
    <w:p>
      <w:pPr>
        <w:pStyle w:val="rFootn"/>
      </w:pPr>
      <w:r>
        <w:rPr>
          <w:rStyle w:val="rFootnRef"/>
        </w:rPr>
        <w:footnoteRef/>
      </w:r>
      <w:r>
        <w:t xml:space="preserve"> Lit. “sons”</w:t>
      </w:r>
    </w:p>
  </w:footnote>
  <w:footnote w:id="13006">
    <w:p>
      <w:pPr>
        <w:pStyle w:val="rFootn"/>
      </w:pPr>
      <w:r>
        <w:rPr>
          <w:rStyle w:val="rFootnRef"/>
        </w:rPr>
        <w:footnoteRef/>
      </w:r>
      <w:r>
        <w:t xml:space="preserve"> Lit. “his face”</w:t>
      </w:r>
    </w:p>
  </w:footnote>
  <w:footnote w:id="11124">
    <w:p>
      <w:pPr>
        <w:pStyle w:val="rFootn"/>
      </w:pPr>
      <w:r>
        <w:rPr>
          <w:rStyle w:val="rFootnRef"/>
        </w:rPr>
        <w:footnoteRef/>
      </w:r>
      <w:r>
        <w:t xml:space="preserve"> Lit. “my face”</w:t>
      </w:r>
    </w:p>
  </w:footnote>
  <w:footnote w:id="23528">
    <w:p>
      <w:pPr>
        <w:pStyle w:val="rFootn"/>
      </w:pPr>
      <w:r>
        <w:rPr>
          <w:rStyle w:val="rFootnRef"/>
        </w:rPr>
        <w:footnoteRef/>
      </w:r>
      <w:r>
        <w:t xml:space="preserve"> Lit. “lift up my face”</w:t>
      </w:r>
    </w:p>
  </w:footnote>
  <w:footnote w:id="15767">
    <w:p>
      <w:pPr>
        <w:pStyle w:val="rFootn"/>
      </w:pPr>
      <w:r>
        <w:rPr>
          <w:rStyle w:val="rFootnRef"/>
        </w:rPr>
        <w:footnoteRef/>
      </w:r>
      <w:r>
        <w:t xml:space="preserve"> Lit. “his face”</w:t>
      </w:r>
    </w:p>
  </w:footnote>
  <w:footnote w:id="15993">
    <w:p>
      <w:pPr>
        <w:pStyle w:val="rFootn"/>
      </w:pPr>
      <w:r>
        <w:rPr>
          <w:rStyle w:val="rFootnRef"/>
        </w:rPr>
        <w:footnoteRef/>
      </w:r>
      <w:r>
        <w:t xml:space="preserve"> Peniel means “face of God.”</w:t>
      </w:r>
    </w:p>
  </w:footnote>
  <w:footnote w:id="11792">
    <w:p>
      <w:pPr>
        <w:pStyle w:val="rFootn"/>
      </w:pPr>
      <w:r>
        <w:rPr>
          <w:rStyle w:val="rFootnRef"/>
        </w:rPr>
        <w:footnoteRef/>
      </w:r>
      <w:r>
        <w:t xml:space="preserve"> Penuel is also spelled “Peniel.”</w:t>
      </w:r>
    </w:p>
  </w:footnote>
  <w:footnote w:id="23490">
    <w:p>
      <w:pPr>
        <w:pStyle w:val="rFootn"/>
      </w:pPr>
      <w:r>
        <w:rPr>
          <w:rStyle w:val="rFootnRef"/>
        </w:rPr>
        <w:footnoteRef/>
      </w:r>
      <w:r>
        <w:t xml:space="preserve"> Lit. “fell on his neck”</w:t>
      </w:r>
    </w:p>
  </w:footnote>
  <w:footnote w:id="19574">
    <w:p>
      <w:pPr>
        <w:pStyle w:val="rFootn"/>
      </w:pPr>
      <w:r>
        <w:rPr>
          <w:rStyle w:val="rFootnRef"/>
        </w:rPr>
        <w:footnoteRef/>
      </w:r>
      <w:r>
        <w:t xml:space="preserve"> Lit. “this camp”</w:t>
      </w:r>
    </w:p>
  </w:footnote>
  <w:footnote w:id="21869">
    <w:p>
      <w:pPr>
        <w:pStyle w:val="rFootn"/>
      </w:pPr>
      <w:r>
        <w:rPr>
          <w:rStyle w:val="rFootnRef"/>
        </w:rPr>
        <w:footnoteRef/>
      </w:r>
      <w:r>
        <w:t xml:space="preserve"> Lit. “soft”</w:t>
      </w:r>
    </w:p>
  </w:footnote>
  <w:footnote w:id="22466">
    <w:p>
      <w:pPr>
        <w:pStyle w:val="rFootn"/>
      </w:pPr>
      <w:r>
        <w:rPr>
          <w:rStyle w:val="rFootnRef"/>
        </w:rPr>
        <w:footnoteRef/>
      </w:r>
      <w:r>
        <w:t xml:space="preserve"> Lit. “booths;” Heb. “sukkoth”</w:t>
      </w:r>
    </w:p>
  </w:footnote>
  <w:footnote w:id="23032">
    <w:p>
      <w:pPr>
        <w:pStyle w:val="rFootn"/>
      </w:pPr>
      <w:r>
        <w:rPr>
          <w:rStyle w:val="rFootnRef"/>
        </w:rPr>
        <w:footnoteRef/>
      </w:r>
      <w:r>
        <w:t xml:space="preserve"> Lit. “peace”</w:t>
      </w:r>
    </w:p>
  </w:footnote>
  <w:footnote w:id="26690">
    <w:p>
      <w:pPr>
        <w:pStyle w:val="rFootn"/>
      </w:pPr>
      <w:r>
        <w:rPr>
          <w:rStyle w:val="rFootnRef"/>
        </w:rPr>
        <w:footnoteRef/>
      </w:r>
      <w:r>
        <w:t xml:space="preserve"> A qisitah is an unknown unit of money.</w:t>
      </w:r>
    </w:p>
  </w:footnote>
  <w:footnote w:id="25984">
    <w:p>
      <w:pPr>
        <w:pStyle w:val="rFootn"/>
      </w:pPr>
      <w:r>
        <w:rPr>
          <w:rStyle w:val="rFootnRef"/>
        </w:rPr>
        <w:footnoteRef/>
      </w:r>
      <w:r>
        <w:t xml:space="preserve"> Lit. “to the heart”</w:t>
      </w:r>
    </w:p>
  </w:footnote>
  <w:footnote w:id="10266">
    <w:p>
      <w:pPr>
        <w:pStyle w:val="rFootn"/>
      </w:pPr>
      <w:r>
        <w:rPr>
          <w:rStyle w:val="rFootnRef"/>
        </w:rPr>
        <w:footnoteRef/>
      </w:r>
      <w:r>
        <w:t xml:space="preserve"> Traditionally “God Almighty”</w:t>
      </w:r>
    </w:p>
  </w:footnote>
  <w:footnote w:id="16169">
    <w:p>
      <w:pPr>
        <w:pStyle w:val="rFootn"/>
      </w:pPr>
      <w:r>
        <w:rPr>
          <w:rStyle w:val="rFootnRef"/>
        </w:rPr>
        <w:footnoteRef/>
      </w:r>
      <w:r>
        <w:t xml:space="preserve"> Heb. “Tower of the Flock”</w:t>
      </w:r>
    </w:p>
  </w:footnote>
  <w:footnote w:id="27664">
    <w:p>
      <w:pPr>
        <w:pStyle w:val="rFootn"/>
      </w:pPr>
      <w:r>
        <w:rPr>
          <w:rStyle w:val="rFootnRef"/>
        </w:rPr>
        <w:footnoteRef/>
      </w:r>
      <w:r>
        <w:t xml:space="preserve"> Lit. “Here I am”</w:t>
      </w:r>
    </w:p>
  </w:footnote>
  <w:footnote w:id="12804">
    <w:p>
      <w:pPr>
        <w:pStyle w:val="rFootn"/>
      </w:pPr>
      <w:r>
        <w:rPr>
          <w:rStyle w:val="rFootnRef"/>
        </w:rPr>
        <w:footnoteRef/>
      </w:r>
      <w:r>
        <w:t xml:space="preserve"> Or “three baskets of white bread”</w:t>
      </w:r>
    </w:p>
  </w:footnote>
  <w:footnote w:id="25338">
    <w:p>
      <w:pPr>
        <w:pStyle w:val="rFootn"/>
      </w:pPr>
      <w:r>
        <w:rPr>
          <w:rStyle w:val="rFootnRef"/>
        </w:rPr>
        <w:footnoteRef/>
      </w:r>
      <w:r>
        <w:t xml:space="preserve"> Meaning “making forget”</w:t>
      </w:r>
    </w:p>
  </w:footnote>
  <w:footnote w:id="29458">
    <w:p>
      <w:pPr>
        <w:pStyle w:val="rFootn"/>
      </w:pPr>
      <w:r>
        <w:rPr>
          <w:rStyle w:val="rFootnRef"/>
        </w:rPr>
        <w:footnoteRef/>
      </w:r>
      <w:r>
        <w:t xml:space="preserve"> Lit. “silver”</w:t>
      </w:r>
    </w:p>
  </w:footnote>
  <w:footnote w:id="31161">
    <w:p>
      <w:pPr>
        <w:pStyle w:val="rFootn"/>
      </w:pPr>
      <w:r>
        <w:rPr>
          <w:rStyle w:val="rFootnRef"/>
        </w:rPr>
        <w:footnoteRef/>
      </w:r>
      <w:r>
        <w:t xml:space="preserve"> Lit. “silver”</w:t>
      </w:r>
    </w:p>
  </w:footnote>
  <w:footnote w:id="26015">
    <w:p>
      <w:pPr>
        <w:pStyle w:val="rFootn"/>
      </w:pPr>
      <w:r>
        <w:rPr>
          <w:rStyle w:val="rFootnRef"/>
        </w:rPr>
        <w:footnoteRef/>
      </w:r>
      <w:r>
        <w:t xml:space="preserve"> Traditionally “God Almighty”</w:t>
      </w:r>
    </w:p>
  </w:footnote>
  <w:footnote w:id="21891">
    <w:p>
      <w:pPr>
        <w:pStyle w:val="rFootn"/>
      </w:pPr>
      <w:r>
        <w:rPr>
          <w:rStyle w:val="rFootnRef"/>
        </w:rPr>
        <w:footnoteRef/>
      </w:r>
      <w:r>
        <w:t xml:space="preserve"> Lit. “from before his face”</w:t>
      </w:r>
    </w:p>
  </w:footnote>
  <w:footnote w:id="27751">
    <w:p>
      <w:pPr>
        <w:pStyle w:val="rFootn"/>
      </w:pPr>
      <w:r>
        <w:rPr>
          <w:rStyle w:val="rFootnRef"/>
        </w:rPr>
        <w:footnoteRef/>
      </w:r>
      <w:r>
        <w:t xml:space="preserve"> Lit. “silver”</w:t>
      </w:r>
    </w:p>
  </w:footnote>
  <w:footnote w:id="26800">
    <w:p>
      <w:pPr>
        <w:pStyle w:val="rFootn"/>
      </w:pPr>
      <w:r>
        <w:rPr>
          <w:rStyle w:val="rFootnRef"/>
        </w:rPr>
        <w:footnoteRef/>
      </w:r>
      <w:r>
        <w:t xml:space="preserve"> Meaning “Jacob’s direct descendants”</w:t>
      </w:r>
    </w:p>
  </w:footnote>
  <w:footnote w:id="25685">
    <w:p>
      <w:pPr>
        <w:pStyle w:val="rFootn"/>
      </w:pPr>
      <w:r>
        <w:rPr>
          <w:rStyle w:val="rFootnRef"/>
        </w:rPr>
        <w:footnoteRef/>
      </w:r>
      <w:r>
        <w:t xml:space="preserve"> Lit. “silver”</w:t>
      </w:r>
    </w:p>
  </w:footnote>
  <w:footnote w:id="13123">
    <w:p>
      <w:pPr>
        <w:pStyle w:val="rFootn"/>
      </w:pPr>
      <w:r>
        <w:rPr>
          <w:rStyle w:val="rFootnRef"/>
        </w:rPr>
        <w:footnoteRef/>
      </w:r>
      <w:r>
        <w:t xml:space="preserve"> LXX reading. The MT reads, “he moved them to the cities”</w:t>
      </w:r>
    </w:p>
  </w:footnote>
  <w:footnote w:id="30468">
    <w:p>
      <w:pPr>
        <w:pStyle w:val="rFootn"/>
      </w:pPr>
      <w:r>
        <w:rPr>
          <w:rStyle w:val="rFootnRef"/>
        </w:rPr>
        <w:footnoteRef/>
      </w:r>
      <w:r>
        <w:t xml:space="preserve"> Traditionally “God Almighty”</w:t>
      </w:r>
    </w:p>
  </w:footnote>
  <w:footnote w:id="28409">
    <w:p>
      <w:pPr>
        <w:pStyle w:val="rFootn"/>
      </w:pPr>
      <w:r>
        <w:rPr>
          <w:rStyle w:val="rFootnRef"/>
        </w:rPr>
        <w:footnoteRef/>
      </w:r>
      <w:r>
        <w:t xml:space="preserve"> Lit. “he,” but referring to Joseph</w:t>
      </w:r>
    </w:p>
  </w:footnote>
  <w:footnote w:id="17949">
    <w:p>
      <w:pPr>
        <w:pStyle w:val="rFootn"/>
      </w:pPr>
      <w:r>
        <w:rPr>
          <w:rStyle w:val="rFootnRef"/>
        </w:rPr>
        <w:footnoteRef/>
      </w:r>
      <w:r>
        <w:t xml:space="preserve"> Lit. “his” referring to Israel</w:t>
      </w:r>
    </w:p>
  </w:footnote>
  <w:footnote w:id="22290">
    <w:p>
      <w:pPr>
        <w:pStyle w:val="rFootn"/>
      </w:pPr>
      <w:r>
        <w:rPr>
          <w:rStyle w:val="rFootnRef"/>
        </w:rPr>
        <w:footnoteRef/>
      </w:r>
      <w:r>
        <w:t xml:space="preserve"> Lit. “before whose face”</w:t>
      </w:r>
    </w:p>
  </w:footnote>
  <w:footnote w:id="10132">
    <w:p>
      <w:pPr>
        <w:pStyle w:val="rFootn"/>
      </w:pPr>
      <w:r>
        <w:rPr>
          <w:rStyle w:val="rFootnRef"/>
        </w:rPr>
        <w:footnoteRef/>
      </w:r>
      <w:r>
        <w:t xml:space="preserve"> Following the Peshitta and Targums</w:t>
      </w:r>
    </w:p>
  </w:footnote>
  <w:footnote w:id="17245">
    <w:p>
      <w:pPr>
        <w:pStyle w:val="rFootn"/>
      </w:pPr>
      <w:r>
        <w:rPr>
          <w:rStyle w:val="rFootnRef"/>
        </w:rPr>
        <w:footnoteRef/>
      </w:r>
      <w:r>
        <w:t xml:space="preserve"> Heb. “Shaddai,” no “El”</w:t>
      </w:r>
    </w:p>
  </w:footnote>
  <w:footnote w:id="27867">
    <w:p>
      <w:pPr>
        <w:pStyle w:val="rFootn"/>
      </w:pPr>
      <w:r>
        <w:rPr>
          <w:rStyle w:val="rFootnRef"/>
        </w:rPr>
        <w:footnoteRef/>
      </w:r>
      <w:r>
        <w:t xml:space="preserve"> Lit. “mourning of Egypt”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472312">
    <w:multiLevelType w:val="hybridMultilevel"/>
    <w:lvl w:ilvl="0" w:tplc="34896811">
      <w:start w:val="1"/>
      <w:numFmt w:val="decimal"/>
      <w:lvlText w:val="%1."/>
      <w:lvlJc w:val="left"/>
      <w:pPr>
        <w:ind w:left="720" w:hanging="360"/>
      </w:pPr>
    </w:lvl>
    <w:lvl w:ilvl="1" w:tplc="34896811" w:tentative="1">
      <w:start w:val="1"/>
      <w:numFmt w:val="lowerLetter"/>
      <w:lvlText w:val="%2."/>
      <w:lvlJc w:val="left"/>
      <w:pPr>
        <w:ind w:left="1440" w:hanging="360"/>
      </w:pPr>
    </w:lvl>
    <w:lvl w:ilvl="2" w:tplc="34896811" w:tentative="1">
      <w:start w:val="1"/>
      <w:numFmt w:val="lowerRoman"/>
      <w:lvlText w:val="%3."/>
      <w:lvlJc w:val="right"/>
      <w:pPr>
        <w:ind w:left="2160" w:hanging="180"/>
      </w:pPr>
    </w:lvl>
    <w:lvl w:ilvl="3" w:tplc="34896811" w:tentative="1">
      <w:start w:val="1"/>
      <w:numFmt w:val="decimal"/>
      <w:lvlText w:val="%4."/>
      <w:lvlJc w:val="left"/>
      <w:pPr>
        <w:ind w:left="2880" w:hanging="360"/>
      </w:pPr>
    </w:lvl>
    <w:lvl w:ilvl="4" w:tplc="34896811" w:tentative="1">
      <w:start w:val="1"/>
      <w:numFmt w:val="lowerLetter"/>
      <w:lvlText w:val="%5."/>
      <w:lvlJc w:val="left"/>
      <w:pPr>
        <w:ind w:left="3600" w:hanging="360"/>
      </w:pPr>
    </w:lvl>
    <w:lvl w:ilvl="5" w:tplc="34896811" w:tentative="1">
      <w:start w:val="1"/>
      <w:numFmt w:val="lowerRoman"/>
      <w:lvlText w:val="%6."/>
      <w:lvlJc w:val="right"/>
      <w:pPr>
        <w:ind w:left="4320" w:hanging="180"/>
      </w:pPr>
    </w:lvl>
    <w:lvl w:ilvl="6" w:tplc="34896811" w:tentative="1">
      <w:start w:val="1"/>
      <w:numFmt w:val="decimal"/>
      <w:lvlText w:val="%7."/>
      <w:lvlJc w:val="left"/>
      <w:pPr>
        <w:ind w:left="5040" w:hanging="360"/>
      </w:pPr>
    </w:lvl>
    <w:lvl w:ilvl="7" w:tplc="34896811" w:tentative="1">
      <w:start w:val="1"/>
      <w:numFmt w:val="lowerLetter"/>
      <w:lvlText w:val="%8."/>
      <w:lvlJc w:val="left"/>
      <w:pPr>
        <w:ind w:left="5760" w:hanging="360"/>
      </w:pPr>
    </w:lvl>
    <w:lvl w:ilvl="8" w:tplc="34896811" w:tentative="1">
      <w:start w:val="1"/>
      <w:numFmt w:val="lowerRoman"/>
      <w:lvlText w:val="%9."/>
      <w:lvlJc w:val="right"/>
      <w:pPr>
        <w:ind w:left="6480" w:hanging="180"/>
      </w:pPr>
    </w:lvl>
  </w:abstractNum>
  <w:abstractNum w:abstractNumId="21878">
    <w:multiLevelType w:val="hybridMultilevel"/>
    <w:lvl w:ilvl="0" w:tplc="777953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878">
    <w:abstractNumId w:val="21878"/>
  </w:num>
  <w:num w:numId="14472312">
    <w:abstractNumId w:val="144723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4636752" Type="http://schemas.openxmlformats.org/officeDocument/2006/relationships/numbering" Target="numbering.xml"/><Relationship Id="rId551536109" Type="http://schemas.openxmlformats.org/officeDocument/2006/relationships/comments" Target="comments.xml"/><Relationship Id="rId310767bb2e0e846d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