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rFootnRef"/>
        </w:rPr>
        <w:footnoteReference w:id="23186"/>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rFootnRef"/>
        </w:rPr>
        <w:footnoteReference w:id="11236"/>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rFootnRef"/>
        </w:rPr>
        <w:footnoteReference w:id="16483"/>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rFootnRef"/>
        </w:rPr>
        <w:footnoteReference w:id="28908"/>
      </w:r>
      <w:r>
        <w:rPr/>
        <w:t xml:space="preserve"> </w:t>
      </w:r>
      <w:r>
        <w:rPr>
          <w:rStyle w:val="rSupStyle"/>
          <w:vertAlign w:val="superscript"/>
        </w:rPr>
        <w:t xml:space="preserve">20</w:t>
      </w:r>
      <w:r>
        <w:rPr/>
        <w:t xml:space="preserve">Among them are Hymenaeus and Alexander, whom I handed over to the Adversary,</w:t>
      </w:r>
      <w:r>
        <w:rPr>
          <w:rStyle w:val="rFootnRef"/>
        </w:rPr>
        <w:footnoteReference w:id="15158"/>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rFootnRef"/>
        </w:rPr>
        <w:footnoteReference w:id="30262"/>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rFootnRef"/>
        </w:rPr>
        <w:footnoteReference w:id="15728"/>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rFootnRef"/>
        </w:rPr>
        <w:footnoteReference w:id="12553"/>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rFootnRef"/>
        </w:rPr>
        <w:footnoteReference w:id="19502"/>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rFootnRef"/>
        </w:rPr>
        <w:footnoteReference w:id="15435"/>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rFootnRef"/>
        </w:rPr>
        <w:footnoteReference w:id="27586"/>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rFootnRef"/>
        </w:rPr>
        <w:footnoteReference w:id="12303"/>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rFootnRef"/>
        </w:rPr>
        <w:footnoteReference w:id="25983"/>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rFootnRef"/>
        </w:rPr>
        <w:footnoteReference w:id="13120"/>
      </w:r>
      <w:r>
        <w:rPr/>
        <w:t xml:space="preserve"> that is </w:t>
      </w:r>
      <w:r>
        <w:rPr>
          <w:i/>
          <w:iCs/>
        </w:rPr>
        <w:t xml:space="preserve">rooted</w:t>
      </w:r>
      <w:r>
        <w:rPr/>
        <w:t xml:space="preserve"> in Christ</w:t>
      </w:r>
      <w:r>
        <w:rPr>
          <w:rStyle w:val="rFootnRef"/>
        </w:rPr>
        <w:footnoteReference w:id="20805"/>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rFootnRef"/>
        </w:rPr>
        <w:footnoteReference w:id="17828"/>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rFootnRef"/>
        </w:rPr>
        <w:footnoteReference w:id="16773"/>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rFootnRef"/>
        </w:rPr>
        <w:footnoteReference w:id="15264"/>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rFootnRef"/>
        </w:rPr>
        <w:footnoteReference w:id="10941"/>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rFootnRef"/>
        </w:rPr>
        <w:footnoteReference w:id="12658"/>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rFootnRef"/>
        </w:rPr>
        <w:footnoteReference w:id="23903"/>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rFootnRef"/>
        </w:rPr>
        <w:footnoteReference w:id="13228"/>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rFootnRef"/>
        </w:rPr>
        <w:footnoteReference w:id="16837"/>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rFootnRef"/>
        </w:rPr>
        <w:footnoteReference w:id="30887"/>
      </w:r>
      <w:r>
        <w:rPr/>
        <w:t xml:space="preserve"> And, </w:t>
      </w:r>
      <w:r>
        <w:rPr>
          <w:rStyle w:val="rOTQuote"/>
        </w:rPr>
        <w:t xml:space="preserve">The worker is worthy of his wages</w:t>
      </w:r>
      <w:r>
        <w:rPr/>
        <w:t xml:space="preserve">.</w:t>
      </w:r>
      <w:r>
        <w:rPr>
          <w:rStyle w:val="rFootnRef"/>
        </w:rPr>
        <w:footnoteReference w:id="23084"/>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rFootnRef"/>
        </w:rPr>
        <w:footnoteReference w:id="28019"/>
      </w:r>
      <w:r>
        <w:rPr/>
        <w:t xml:space="preserve"> but with some people they are revealed later.</w:t>
      </w:r>
      <w:r>
        <w:rPr>
          <w:rStyle w:val="rFootnRef"/>
        </w:rPr>
        <w:footnoteReference w:id="11409"/>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that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rFootnRef"/>
        </w:rPr>
        <w:footnoteReference w:id="17698"/>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 is corrupt and has been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neither are we able to carry anything out. </w:t>
      </w:r>
      <w:r>
        <w:rPr>
          <w:rStyle w:val="rSupStyle"/>
          <w:vertAlign w:val="superscript"/>
        </w:rPr>
        <w:t xml:space="preserve">8</w:t>
      </w:r>
      <w:r>
        <w:rPr/>
        <w:t xml:space="preserve">But if we have food and clothing,</w:t>
      </w:r>
      <w:r>
        <w:rPr>
          <w:rStyle w:val="rFootnRef"/>
        </w:rPr>
        <w:footnoteReference w:id="12417"/>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678067a8ab929367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5141366"/>
      <w:docPartObj>
        <w:docPartGallery w:val="Page Numbers (Bottom of Page)"/>
        <w:docPartUnique/>
      </w:docPartObj>
    </w:sdtPr>
    <w:sdtContent>
      <w:sdt>
        <w:sdtPr>
          <w:id w:val="3716780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186">
    <w:p>
      <w:pPr>
        <w:pStyle w:val="rFootn"/>
      </w:pPr>
      <w:r>
        <w:rPr>
          <w:rStyle w:val="rFootnRef"/>
        </w:rPr>
        <w:footnoteRef/>
      </w:r>
      <w:r>
        <w:t xml:space="preserve"> Lit. “the Anointed One”</w:t>
      </w:r>
    </w:p>
  </w:footnote>
  <w:footnote w:id="11236">
    <w:p>
      <w:pPr>
        <w:pStyle w:val="rFootn"/>
      </w:pPr>
      <w:r>
        <w:rPr>
          <w:rStyle w:val="rFootnRef"/>
        </w:rPr>
        <w:footnoteRef/>
      </w:r>
      <w:r>
        <w:t xml:space="preserve"> “Faith” refers to the Christian Faith.</w:t>
      </w:r>
    </w:p>
  </w:footnote>
  <w:footnote w:id="16483">
    <w:p>
      <w:pPr>
        <w:pStyle w:val="rFootn"/>
      </w:pPr>
      <w:r>
        <w:rPr>
          <w:rStyle w:val="rFootnRef"/>
        </w:rPr>
        <w:footnoteRef/>
      </w:r>
      <w:r>
        <w:t xml:space="preserve"> Or “violent”</w:t>
      </w:r>
    </w:p>
  </w:footnote>
  <w:footnote w:id="28908">
    <w:p>
      <w:pPr>
        <w:pStyle w:val="rFootn"/>
      </w:pPr>
      <w:r>
        <w:rPr>
          <w:rStyle w:val="rFootnRef"/>
        </w:rPr>
        <w:footnoteRef/>
      </w:r>
      <w:r>
        <w:t xml:space="preserve"> “Faith” refers to the Christian Faith.</w:t>
      </w:r>
    </w:p>
  </w:footnote>
  <w:footnote w:id="15158">
    <w:p>
      <w:pPr>
        <w:pStyle w:val="rFootn"/>
      </w:pPr>
      <w:r>
        <w:rPr>
          <w:rStyle w:val="rFootnRef"/>
        </w:rPr>
        <w:footnoteRef/>
      </w:r>
      <w:r>
        <w:t xml:space="preserve"> “Adversary” is the translation of the Greek </w:t>
      </w:r>
      <w:r>
        <w:rPr>
          <w:i/>
        </w:rPr>
        <w:t xml:space="preserve">satanas</w:t>
      </w:r>
      <w:r>
        <w:t xml:space="preserve">.</w:t>
      </w:r>
    </w:p>
  </w:footnote>
  <w:footnote w:id="30262">
    <w:p>
      <w:pPr>
        <w:pStyle w:val="rFootn"/>
      </w:pPr>
      <w:r>
        <w:rPr>
          <w:rStyle w:val="rFootnRef"/>
        </w:rPr>
        <w:footnoteRef/>
      </w:r>
      <w:r>
        <w:t xml:space="preserve"> Lit. “the Anointed One”</w:t>
      </w:r>
    </w:p>
  </w:footnote>
  <w:footnote w:id="15728">
    <w:p>
      <w:pPr>
        <w:pStyle w:val="rFootn"/>
      </w:pPr>
      <w:r>
        <w:rPr>
          <w:rStyle w:val="rFootnRef"/>
        </w:rPr>
        <w:footnoteRef/>
      </w:r>
      <w:r>
        <w:t xml:space="preserve"> Or “in the true faith”</w:t>
      </w:r>
    </w:p>
  </w:footnote>
  <w:footnote w:id="12553">
    <w:p>
      <w:pPr>
        <w:pStyle w:val="rFootn"/>
      </w:pPr>
      <w:r>
        <w:rPr>
          <w:rStyle w:val="rFootnRef"/>
        </w:rPr>
        <w:footnoteRef/>
      </w:r>
      <w:r>
        <w:t xml:space="preserve"> Lit. “anger” or “argument”</w:t>
      </w:r>
    </w:p>
  </w:footnote>
  <w:footnote w:id="19502">
    <w:p>
      <w:pPr>
        <w:pStyle w:val="rFootn"/>
      </w:pPr>
      <w:r>
        <w:rPr>
          <w:rStyle w:val="rFootnRef"/>
        </w:rPr>
        <w:footnoteRef/>
      </w:r>
      <w:r>
        <w:t xml:space="preserve"> Or “wife”</w:t>
      </w:r>
    </w:p>
  </w:footnote>
  <w:footnote w:id="15435">
    <w:p>
      <w:pPr>
        <w:pStyle w:val="rFootn"/>
      </w:pPr>
      <w:r>
        <w:rPr>
          <w:rStyle w:val="rFootnRef"/>
        </w:rPr>
        <w:footnoteRef/>
      </w:r>
      <w:r>
        <w:t xml:space="preserve"> This is not a universal prohibition against women teaching</w:t>
      </w:r>
    </w:p>
  </w:footnote>
  <w:footnote w:id="27586">
    <w:p>
      <w:pPr>
        <w:pStyle w:val="rFootn"/>
      </w:pPr>
      <w:r>
        <w:rPr>
          <w:rStyle w:val="rFootnRef"/>
        </w:rPr>
        <w:footnoteRef/>
      </w:r>
      <w:r>
        <w:t xml:space="preserve"> Or “the birth of the Child”</w:t>
      </w:r>
    </w:p>
  </w:footnote>
  <w:footnote w:id="12303">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5983">
    <w:p>
      <w:pPr>
        <w:pStyle w:val="rFootn"/>
      </w:pPr>
      <w:r>
        <w:rPr>
          <w:rStyle w:val="rFootnRef"/>
        </w:rPr>
        <w:footnoteRef/>
      </w:r>
      <w:r>
        <w:t xml:space="preserve"> Or “wives </w:t>
      </w:r>
      <w:r>
        <w:rPr>
          <w:i/>
        </w:rPr>
        <w:t xml:space="preserve">of the deacons</w:t>
      </w:r>
      <w:r>
        <w:t xml:space="preserve">”</w:t>
      </w:r>
    </w:p>
  </w:footnote>
  <w:footnote w:id="13120">
    <w:p>
      <w:pPr>
        <w:pStyle w:val="rFootn"/>
      </w:pPr>
      <w:r>
        <w:rPr>
          <w:rStyle w:val="rFootnRef"/>
        </w:rPr>
        <w:footnoteRef/>
      </w:r>
      <w:r>
        <w:t xml:space="preserve"> “Faith” refers to the Christian Faith.</w:t>
      </w:r>
    </w:p>
  </w:footnote>
  <w:footnote w:id="20805">
    <w:p>
      <w:pPr>
        <w:pStyle w:val="rFootn"/>
      </w:pPr>
      <w:r>
        <w:rPr>
          <w:rStyle w:val="rFootnRef"/>
        </w:rPr>
        <w:footnoteRef/>
      </w:r>
      <w:r>
        <w:t xml:space="preserve"> Lit. “the Anointed One”</w:t>
      </w:r>
    </w:p>
  </w:footnote>
  <w:footnote w:id="17828">
    <w:p>
      <w:pPr>
        <w:pStyle w:val="rFootn"/>
      </w:pPr>
      <w:r>
        <w:rPr>
          <w:rStyle w:val="rFootnRef"/>
        </w:rPr>
        <w:footnoteRef/>
      </w:r>
      <w:r>
        <w:t xml:space="preserve"> Lit. “the Anointed One”</w:t>
      </w:r>
    </w:p>
  </w:footnote>
  <w:footnote w:id="16773">
    <w:p>
      <w:pPr>
        <w:pStyle w:val="rFootn"/>
      </w:pPr>
      <w:r>
        <w:rPr>
          <w:rStyle w:val="rFootnRef"/>
        </w:rPr>
        <w:footnoteRef/>
      </w:r>
      <w:r>
        <w:t xml:space="preserve"> Mythologies retained in the culture, often by older women.</w:t>
      </w:r>
    </w:p>
  </w:footnote>
  <w:footnote w:id="15264">
    <w:p>
      <w:pPr>
        <w:pStyle w:val="rFootn"/>
      </w:pPr>
      <w:r>
        <w:rPr>
          <w:rStyle w:val="rFootnRef"/>
        </w:rPr>
        <w:footnoteRef/>
      </w:r>
      <w:r>
        <w:t xml:space="preserve"> Or “trust”</w:t>
      </w:r>
    </w:p>
  </w:footnote>
  <w:footnote w:id="10941">
    <w:p>
      <w:pPr>
        <w:pStyle w:val="rFootn"/>
      </w:pPr>
      <w:r>
        <w:rPr>
          <w:rStyle w:val="rFootnRef"/>
        </w:rPr>
        <w:footnoteRef/>
      </w:r>
      <w:r>
        <w:t xml:space="preserve"> “Them” refers to the children</w:t>
      </w:r>
    </w:p>
  </w:footnote>
  <w:footnote w:id="12658">
    <w:p>
      <w:pPr>
        <w:pStyle w:val="rFootn"/>
      </w:pPr>
      <w:r>
        <w:rPr>
          <w:rStyle w:val="rFootnRef"/>
        </w:rPr>
        <w:footnoteRef/>
      </w:r>
      <w:r>
        <w:t xml:space="preserve"> Lit. “every good work”</w:t>
      </w:r>
    </w:p>
  </w:footnote>
  <w:footnote w:id="23903">
    <w:p>
      <w:pPr>
        <w:pStyle w:val="rFootn"/>
      </w:pPr>
      <w:r>
        <w:rPr>
          <w:rStyle w:val="rFootnRef"/>
        </w:rPr>
        <w:footnoteRef/>
      </w:r>
      <w:r>
        <w:t xml:space="preserve"> Lit. “the Anointed One”</w:t>
      </w:r>
    </w:p>
  </w:footnote>
  <w:footnote w:id="13228">
    <w:p>
      <w:pPr>
        <w:pStyle w:val="rFootn"/>
      </w:pPr>
      <w:r>
        <w:rPr>
          <w:rStyle w:val="rFootnRef"/>
        </w:rPr>
        <w:footnoteRef/>
      </w:r>
      <w:r>
        <w:t xml:space="preserve"> “Opposer” is being used as a title for the Devil</w:t>
      </w:r>
    </w:p>
  </w:footnote>
  <w:footnote w:id="16837">
    <w:p>
      <w:pPr>
        <w:pStyle w:val="rFootn"/>
      </w:pPr>
      <w:r>
        <w:rPr>
          <w:rStyle w:val="rFootnRef"/>
        </w:rPr>
        <w:footnoteRef/>
      </w:r>
      <w:r>
        <w:t xml:space="preserve"> “Adversary” is the translation of the Greek </w:t>
      </w:r>
      <w:r>
        <w:rPr>
          <w:i/>
        </w:rPr>
        <w:t xml:space="preserve">satanas</w:t>
      </w:r>
      <w:r>
        <w:t xml:space="preserve">.</w:t>
      </w:r>
    </w:p>
  </w:footnote>
  <w:footnote w:id="30887">
    <w:p>
      <w:pPr>
        <w:pStyle w:val="rFootn"/>
      </w:pPr>
      <w:r>
        <w:rPr>
          <w:rStyle w:val="rFootnRef"/>
        </w:rPr>
        <w:footnoteRef/>
      </w:r>
      <w:r>
        <w:t xml:space="preserve"> From Deut. 25:4</w:t>
      </w:r>
    </w:p>
  </w:footnote>
  <w:footnote w:id="23084">
    <w:p>
      <w:pPr>
        <w:pStyle w:val="rFootn"/>
      </w:pPr>
      <w:r>
        <w:rPr>
          <w:rStyle w:val="rFootnRef"/>
        </w:rPr>
        <w:footnoteRef/>
      </w:r>
      <w:r>
        <w:t xml:space="preserve"> From Lev. 19:13; Deut. 24:14-15</w:t>
      </w:r>
    </w:p>
  </w:footnote>
  <w:footnote w:id="28019">
    <w:p>
      <w:pPr>
        <w:pStyle w:val="rFootn"/>
      </w:pPr>
      <w:r>
        <w:rPr>
          <w:rStyle w:val="rFootnRef"/>
        </w:rPr>
        <w:footnoteRef/>
      </w:r>
      <w:r>
        <w:t xml:space="preserve"> Lit. “going before them into judgment”</w:t>
      </w:r>
    </w:p>
  </w:footnote>
  <w:footnote w:id="11409">
    <w:p>
      <w:pPr>
        <w:pStyle w:val="rFootn"/>
      </w:pPr>
      <w:r>
        <w:rPr>
          <w:rStyle w:val="rFootnRef"/>
        </w:rPr>
        <w:footnoteRef/>
      </w:r>
      <w:r>
        <w:t xml:space="preserve"> Lit. “follow afterward”</w:t>
      </w:r>
    </w:p>
  </w:footnote>
  <w:footnote w:id="17698">
    <w:p>
      <w:pPr>
        <w:pStyle w:val="rFootn"/>
      </w:pPr>
      <w:r>
        <w:rPr>
          <w:rStyle w:val="rFootnRef"/>
        </w:rPr>
        <w:footnoteRef/>
      </w:r>
      <w:r>
        <w:t xml:space="preserve"> Lit. “the Anointed One”</w:t>
      </w:r>
    </w:p>
  </w:footnote>
  <w:footnote w:id="12417">
    <w:p>
      <w:pPr>
        <w:pStyle w:val="rFootn"/>
      </w:pPr>
      <w:r>
        <w:rPr>
          <w:rStyle w:val="rFootnRef"/>
        </w:rPr>
        <w:footnoteRef/>
      </w:r>
      <w:r>
        <w:t xml:space="preserve"> Or “shelter”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471786">
    <w:multiLevelType w:val="hybridMultilevel"/>
    <w:lvl w:ilvl="0" w:tplc="61726793">
      <w:start w:val="1"/>
      <w:numFmt w:val="decimal"/>
      <w:lvlText w:val="%1."/>
      <w:lvlJc w:val="left"/>
      <w:pPr>
        <w:ind w:left="720" w:hanging="360"/>
      </w:pPr>
    </w:lvl>
    <w:lvl w:ilvl="1" w:tplc="61726793" w:tentative="1">
      <w:start w:val="1"/>
      <w:numFmt w:val="lowerLetter"/>
      <w:lvlText w:val="%2."/>
      <w:lvlJc w:val="left"/>
      <w:pPr>
        <w:ind w:left="1440" w:hanging="360"/>
      </w:pPr>
    </w:lvl>
    <w:lvl w:ilvl="2" w:tplc="61726793" w:tentative="1">
      <w:start w:val="1"/>
      <w:numFmt w:val="lowerRoman"/>
      <w:lvlText w:val="%3."/>
      <w:lvlJc w:val="right"/>
      <w:pPr>
        <w:ind w:left="2160" w:hanging="180"/>
      </w:pPr>
    </w:lvl>
    <w:lvl w:ilvl="3" w:tplc="61726793" w:tentative="1">
      <w:start w:val="1"/>
      <w:numFmt w:val="decimal"/>
      <w:lvlText w:val="%4."/>
      <w:lvlJc w:val="left"/>
      <w:pPr>
        <w:ind w:left="2880" w:hanging="360"/>
      </w:pPr>
    </w:lvl>
    <w:lvl w:ilvl="4" w:tplc="61726793" w:tentative="1">
      <w:start w:val="1"/>
      <w:numFmt w:val="lowerLetter"/>
      <w:lvlText w:val="%5."/>
      <w:lvlJc w:val="left"/>
      <w:pPr>
        <w:ind w:left="3600" w:hanging="360"/>
      </w:pPr>
    </w:lvl>
    <w:lvl w:ilvl="5" w:tplc="61726793" w:tentative="1">
      <w:start w:val="1"/>
      <w:numFmt w:val="lowerRoman"/>
      <w:lvlText w:val="%6."/>
      <w:lvlJc w:val="right"/>
      <w:pPr>
        <w:ind w:left="4320" w:hanging="180"/>
      </w:pPr>
    </w:lvl>
    <w:lvl w:ilvl="6" w:tplc="61726793" w:tentative="1">
      <w:start w:val="1"/>
      <w:numFmt w:val="decimal"/>
      <w:lvlText w:val="%7."/>
      <w:lvlJc w:val="left"/>
      <w:pPr>
        <w:ind w:left="5040" w:hanging="360"/>
      </w:pPr>
    </w:lvl>
    <w:lvl w:ilvl="7" w:tplc="61726793" w:tentative="1">
      <w:start w:val="1"/>
      <w:numFmt w:val="lowerLetter"/>
      <w:lvlText w:val="%8."/>
      <w:lvlJc w:val="left"/>
      <w:pPr>
        <w:ind w:left="5760" w:hanging="360"/>
      </w:pPr>
    </w:lvl>
    <w:lvl w:ilvl="8" w:tplc="61726793" w:tentative="1">
      <w:start w:val="1"/>
      <w:numFmt w:val="lowerRoman"/>
      <w:lvlText w:val="%9."/>
      <w:lvlJc w:val="right"/>
      <w:pPr>
        <w:ind w:left="6480" w:hanging="180"/>
      </w:pPr>
    </w:lvl>
  </w:abstractNum>
  <w:abstractNum w:abstractNumId="24422">
    <w:multiLevelType w:val="hybridMultilevel"/>
    <w:lvl w:ilvl="0" w:tplc="352760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422">
    <w:abstractNumId w:val="24422"/>
  </w:num>
  <w:num w:numId="42471786">
    <w:abstractNumId w:val="4247178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6589028" Type="http://schemas.openxmlformats.org/officeDocument/2006/relationships/numbering" Target="numbering.xml"/><Relationship Id="rId794408111" Type="http://schemas.openxmlformats.org/officeDocument/2006/relationships/comments" Target="comments.xml"/><Relationship Id="rId678067a8ab929367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