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5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rFootnRef"/>
        </w:rPr>
        <w:footnoteReference w:id="25145"/>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rFootnRef"/>
        </w:rPr>
        <w:footnoteReference w:id="23782"/>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rFootnRef"/>
        </w:rPr>
        <w:footnoteReference w:id="27639"/>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rFootnRef"/>
        </w:rPr>
        <w:footnoteReference w:id="14317"/>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Appendix 16: “Usages of ‘Soul.’”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798467a8ab8b3cf6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810896"/>
      <w:docPartObj>
        <w:docPartGallery w:val="Page Numbers (Bottom of Page)"/>
        <w:docPartUnique/>
      </w:docPartObj>
    </w:sdtPr>
    <w:sdtContent>
      <w:sdt>
        <w:sdtPr>
          <w:id w:val="806315124"/>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5145">
    <w:p>
      <w:pPr>
        <w:pStyle w:val="rFootn"/>
      </w:pPr>
      <w:r>
        <w:rPr>
          <w:rStyle w:val="rFootnRef"/>
        </w:rPr>
        <w:footnoteRef/>
      </w:r>
      <w:r>
        <w:t xml:space="preserve"> See Harold and Alma Moldenke, </w:t>
      </w:r>
      <w:r>
        <w:rPr>
          <w:i/>
        </w:rPr>
        <w:t xml:space="preserve">Plants of the Bible</w:t>
      </w:r>
      <w:r>
        <w:t xml:space="preserve">, 184-188.</w:t>
      </w:r>
    </w:p>
  </w:footnote>
  <w:footnote w:id="23782">
    <w:p>
      <w:pPr>
        <w:pStyle w:val="rFootn"/>
      </w:pPr>
      <w:r>
        <w:rPr>
          <w:rStyle w:val="rFootnRef"/>
        </w:rPr>
        <w:footnoteRef/>
      </w:r>
      <w:r>
        <w:t xml:space="preserve"> Cp. Keil and Delitzsch, </w:t>
      </w:r>
      <w:r>
        <w:rPr>
          <w:i/>
        </w:rPr>
        <w:t xml:space="preserve">Old Testament Commentary</w:t>
      </w:r>
      <w:r>
        <w:t xml:space="preserve">.</w:t>
      </w:r>
    </w:p>
  </w:footnote>
  <w:footnote w:id="27639">
    <w:p>
      <w:pPr>
        <w:pStyle w:val="rFootn"/>
      </w:pPr>
      <w:r>
        <w:rPr>
          <w:rStyle w:val="rFootnRef"/>
        </w:rPr>
        <w:footnoteRef/>
      </w:r>
      <w:r>
        <w:t xml:space="preserve"> Cp. Leslie Allen, </w:t>
      </w:r>
      <w:r>
        <w:rPr>
          <w:i/>
        </w:rPr>
        <w:t xml:space="preserve">The Books of Joel, Obadiah, Jonah, and Micah</w:t>
      </w:r>
      <w:r>
        <w:t xml:space="preserve"> [NICOT], 114.</w:t>
      </w:r>
    </w:p>
  </w:footnote>
  <w:footnote w:id="14317">
    <w:p>
      <w:pPr>
        <w:pStyle w:val="rFootn"/>
      </w:pPr>
      <w:r>
        <w:rPr>
          <w:rStyle w:val="rFootnRef"/>
        </w:rPr>
        <w:footnoteRef/>
      </w:r>
      <w:r>
        <w:t xml:space="preserve"> Merrill Tenney, </w:t>
      </w:r>
      <w:r>
        <w:rPr>
          <w:i/>
        </w:rPr>
        <w:t xml:space="preserve">Zondervan Pictorial Encyclopedia of the Bible</w:t>
      </w:r>
      <w:r>
        <w:t xml:space="preserve">, s.v. “Jehoshaphat, Valley of.”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138977">
    <w:multiLevelType w:val="hybridMultilevel"/>
    <w:lvl w:ilvl="0" w:tplc="33692934">
      <w:start w:val="1"/>
      <w:numFmt w:val="decimal"/>
      <w:lvlText w:val="%1."/>
      <w:lvlJc w:val="left"/>
      <w:pPr>
        <w:ind w:left="720" w:hanging="360"/>
      </w:pPr>
    </w:lvl>
    <w:lvl w:ilvl="1" w:tplc="33692934" w:tentative="1">
      <w:start w:val="1"/>
      <w:numFmt w:val="lowerLetter"/>
      <w:lvlText w:val="%2."/>
      <w:lvlJc w:val="left"/>
      <w:pPr>
        <w:ind w:left="1440" w:hanging="360"/>
      </w:pPr>
    </w:lvl>
    <w:lvl w:ilvl="2" w:tplc="33692934" w:tentative="1">
      <w:start w:val="1"/>
      <w:numFmt w:val="lowerRoman"/>
      <w:lvlText w:val="%3."/>
      <w:lvlJc w:val="right"/>
      <w:pPr>
        <w:ind w:left="2160" w:hanging="180"/>
      </w:pPr>
    </w:lvl>
    <w:lvl w:ilvl="3" w:tplc="33692934" w:tentative="1">
      <w:start w:val="1"/>
      <w:numFmt w:val="decimal"/>
      <w:lvlText w:val="%4."/>
      <w:lvlJc w:val="left"/>
      <w:pPr>
        <w:ind w:left="2880" w:hanging="360"/>
      </w:pPr>
    </w:lvl>
    <w:lvl w:ilvl="4" w:tplc="33692934" w:tentative="1">
      <w:start w:val="1"/>
      <w:numFmt w:val="lowerLetter"/>
      <w:lvlText w:val="%5."/>
      <w:lvlJc w:val="left"/>
      <w:pPr>
        <w:ind w:left="3600" w:hanging="360"/>
      </w:pPr>
    </w:lvl>
    <w:lvl w:ilvl="5" w:tplc="33692934" w:tentative="1">
      <w:start w:val="1"/>
      <w:numFmt w:val="lowerRoman"/>
      <w:lvlText w:val="%6."/>
      <w:lvlJc w:val="right"/>
      <w:pPr>
        <w:ind w:left="4320" w:hanging="180"/>
      </w:pPr>
    </w:lvl>
    <w:lvl w:ilvl="6" w:tplc="33692934" w:tentative="1">
      <w:start w:val="1"/>
      <w:numFmt w:val="decimal"/>
      <w:lvlText w:val="%7."/>
      <w:lvlJc w:val="left"/>
      <w:pPr>
        <w:ind w:left="5040" w:hanging="360"/>
      </w:pPr>
    </w:lvl>
    <w:lvl w:ilvl="7" w:tplc="33692934" w:tentative="1">
      <w:start w:val="1"/>
      <w:numFmt w:val="lowerLetter"/>
      <w:lvlText w:val="%8."/>
      <w:lvlJc w:val="left"/>
      <w:pPr>
        <w:ind w:left="5760" w:hanging="360"/>
      </w:pPr>
    </w:lvl>
    <w:lvl w:ilvl="8" w:tplc="33692934" w:tentative="1">
      <w:start w:val="1"/>
      <w:numFmt w:val="lowerRoman"/>
      <w:lvlText w:val="%9."/>
      <w:lvlJc w:val="right"/>
      <w:pPr>
        <w:ind w:left="6480" w:hanging="180"/>
      </w:pPr>
    </w:lvl>
  </w:abstractNum>
  <w:abstractNum w:abstractNumId="19432">
    <w:multiLevelType w:val="hybridMultilevel"/>
    <w:lvl w:ilvl="0" w:tplc="290192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432">
    <w:abstractNumId w:val="19432"/>
  </w:num>
  <w:num w:numId="56138977">
    <w:abstractNumId w:val="5613897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47218944" Type="http://schemas.openxmlformats.org/officeDocument/2006/relationships/numbering" Target="numbering.xml"/><Relationship Id="rId668207959" Type="http://schemas.openxmlformats.org/officeDocument/2006/relationships/comments" Target="comments.xml"/><Relationship Id="rId798467a8ab8b3cf6d"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