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35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rFootnRef"/>
        </w:rPr>
        <w:footnoteReference w:id="32231"/>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rFootnRef"/>
        </w:rPr>
        <w:footnoteReference w:id="18561"/>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rFootnRef"/>
        </w:rPr>
        <w:footnoteReference w:id="30327"/>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rFootnRef"/>
        </w:rPr>
        <w:footnoteReference w:id="16888"/>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rFootnRef"/>
        </w:rPr>
        <w:footnoteReference w:id="28312"/>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rFootnRef"/>
        </w:rPr>
        <w:footnoteReference w:id="22751"/>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rFootnRef"/>
        </w:rPr>
        <w:footnoteReference w:id="12104"/>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people</w:t>
      </w:r>
      <w:r>
        <w:rPr>
          <w:rStyle w:val="rFootnRef"/>
        </w:rPr>
        <w:footnoteReference w:id="31892"/>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rFootnRef"/>
        </w:rPr>
        <w:footnoteReference w:id="24880"/>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rFootnRef"/>
        </w:rPr>
        <w:footnoteReference w:id="26111"/>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rFootnRef"/>
        </w:rPr>
        <w:footnoteReference w:id="27462"/>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rFootnRef"/>
        </w:rPr>
        <w:footnoteReference w:id="16895"/>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rFootnRef"/>
        </w:rPr>
        <w:footnoteReference w:id="13162"/>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234467a8ab935878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711468"/>
      <w:docPartObj>
        <w:docPartGallery w:val="Page Numbers (Bottom of Page)"/>
        <w:docPartUnique/>
      </w:docPartObj>
    </w:sdtPr>
    <w:sdtContent>
      <w:sdt>
        <w:sdtPr>
          <w:id w:val="9176718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231">
    <w:p>
      <w:pPr>
        <w:pStyle w:val="rFootn"/>
      </w:pPr>
      <w:r>
        <w:rPr>
          <w:rStyle w:val="rFootnRef"/>
        </w:rPr>
        <w:footnoteRef/>
      </w:r>
      <w:r>
        <w:t xml:space="preserve"> Lit. “the Anointed One”</w:t>
      </w:r>
    </w:p>
  </w:footnote>
  <w:footnote w:id="18561">
    <w:p>
      <w:pPr>
        <w:pStyle w:val="rFootn"/>
      </w:pPr>
      <w:r>
        <w:rPr>
          <w:rStyle w:val="rFootnRef"/>
        </w:rPr>
        <w:footnoteRef/>
      </w:r>
      <w:r>
        <w:t xml:space="preserve"> Or “</w:t>
      </w:r>
      <w:r>
        <w:rPr>
          <w:i/>
        </w:rPr>
        <w:t xml:space="preserve">that comes from</w:t>
      </w:r>
      <w:r>
        <w:t xml:space="preserve">”</w:t>
      </w:r>
    </w:p>
  </w:footnote>
  <w:footnote w:id="30327">
    <w:p>
      <w:pPr>
        <w:pStyle w:val="rFootn"/>
      </w:pPr>
      <w:r>
        <w:rPr>
          <w:rStyle w:val="rFootnRef"/>
        </w:rPr>
        <w:footnoteRef/>
      </w:r>
      <w:r>
        <w:t xml:space="preserve"> Lit. “entrance”</w:t>
      </w:r>
    </w:p>
  </w:footnote>
  <w:footnote w:id="16888">
    <w:p>
      <w:pPr>
        <w:pStyle w:val="rFootn"/>
      </w:pPr>
      <w:r>
        <w:rPr>
          <w:rStyle w:val="rFootnRef"/>
        </w:rPr>
        <w:footnoteRef/>
      </w:r>
      <w:r>
        <w:t xml:space="preserve"> Or “comes from </w:t>
      </w:r>
      <w:r>
        <w:rPr>
          <w:i/>
        </w:rPr>
        <w:t xml:space="preserve">a prophet’s</w:t>
      </w:r>
      <w:r>
        <w:t xml:space="preserve"> own interpretation”</w:t>
      </w:r>
    </w:p>
  </w:footnote>
  <w:footnote w:id="28312">
    <w:p>
      <w:pPr>
        <w:pStyle w:val="rFootn"/>
      </w:pPr>
      <w:r>
        <w:rPr>
          <w:rStyle w:val="rFootnRef"/>
        </w:rPr>
        <w:footnoteRef/>
      </w:r>
      <w:r>
        <w:t xml:space="preserve"> The nation of Israel was called “the People,” so it is appropriate to capitalize it when it refers to Israel.</w:t>
      </w:r>
    </w:p>
  </w:footnote>
  <w:footnote w:id="22751">
    <w:p>
      <w:pPr>
        <w:pStyle w:val="rFootn"/>
      </w:pPr>
      <w:r>
        <w:rPr>
          <w:rStyle w:val="rFootnRef"/>
        </w:rPr>
        <w:footnoteRef/>
      </w:r>
      <w:r>
        <w:t xml:space="preserve"> Tartarus was a kind of dungeon for gods, and 1 Peter 3:19 calls it a prison.</w:t>
      </w:r>
    </w:p>
  </w:footnote>
  <w:footnote w:id="12104">
    <w:p>
      <w:pPr>
        <w:pStyle w:val="rFootn"/>
      </w:pPr>
      <w:r>
        <w:rPr>
          <w:rStyle w:val="rFootnRef"/>
        </w:rPr>
        <w:footnoteRef/>
      </w:r>
      <w:r>
        <w:t xml:space="preserve"> Meaning “to speak slanderous and harmful words.”</w:t>
      </w:r>
    </w:p>
  </w:footnote>
  <w:footnote w:id="31892">
    <w:p>
      <w:pPr>
        <w:pStyle w:val="rFootn"/>
      </w:pPr>
      <w:r>
        <w:rPr>
          <w:rStyle w:val="rFootnRef"/>
        </w:rPr>
        <w:footnoteRef/>
      </w:r>
      <w:r>
        <w:t xml:space="preserve"> Lit. “those”</w:t>
      </w:r>
    </w:p>
  </w:footnote>
  <w:footnote w:id="24880">
    <w:p>
      <w:pPr>
        <w:pStyle w:val="rFootn"/>
      </w:pPr>
      <w:r>
        <w:rPr>
          <w:rStyle w:val="rFootnRef"/>
        </w:rPr>
        <w:footnoteRef/>
      </w:r>
      <w:r>
        <w:t xml:space="preserve"> Lit. “the Anointed One”</w:t>
      </w:r>
    </w:p>
  </w:footnote>
  <w:footnote w:id="26111">
    <w:p>
      <w:pPr>
        <w:pStyle w:val="rFootn"/>
      </w:pPr>
      <w:r>
        <w:rPr>
          <w:rStyle w:val="rFootnRef"/>
        </w:rPr>
        <w:footnoteRef/>
      </w:r>
      <w:r>
        <w:t xml:space="preserve"> From Prov. 26:11</w:t>
      </w:r>
    </w:p>
  </w:footnote>
  <w:footnote w:id="27462">
    <w:p>
      <w:pPr>
        <w:pStyle w:val="rFootn"/>
      </w:pPr>
      <w:r>
        <w:rPr>
          <w:rStyle w:val="rFootnRef"/>
        </w:rPr>
        <w:footnoteRef/>
      </w:r>
      <w:r>
        <w:t xml:space="preserve"> “The Fathers” usually refers to the early founders of Israel.</w:t>
      </w:r>
    </w:p>
  </w:footnote>
  <w:footnote w:id="16895">
    <w:p>
      <w:pPr>
        <w:pStyle w:val="rFootn"/>
      </w:pPr>
      <w:r>
        <w:rPr>
          <w:rStyle w:val="rFootnRef"/>
        </w:rPr>
        <w:footnoteRef/>
      </w:r>
      <w:r>
        <w:t xml:space="preserve"> Other manuscripts read “will be burned up”</w:t>
      </w:r>
    </w:p>
  </w:footnote>
  <w:footnote w:id="13162">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018009">
    <w:multiLevelType w:val="hybridMultilevel"/>
    <w:lvl w:ilvl="0" w:tplc="70567444">
      <w:start w:val="1"/>
      <w:numFmt w:val="decimal"/>
      <w:lvlText w:val="%1."/>
      <w:lvlJc w:val="left"/>
      <w:pPr>
        <w:ind w:left="720" w:hanging="360"/>
      </w:pPr>
    </w:lvl>
    <w:lvl w:ilvl="1" w:tplc="70567444" w:tentative="1">
      <w:start w:val="1"/>
      <w:numFmt w:val="lowerLetter"/>
      <w:lvlText w:val="%2."/>
      <w:lvlJc w:val="left"/>
      <w:pPr>
        <w:ind w:left="1440" w:hanging="360"/>
      </w:pPr>
    </w:lvl>
    <w:lvl w:ilvl="2" w:tplc="70567444" w:tentative="1">
      <w:start w:val="1"/>
      <w:numFmt w:val="lowerRoman"/>
      <w:lvlText w:val="%3."/>
      <w:lvlJc w:val="right"/>
      <w:pPr>
        <w:ind w:left="2160" w:hanging="180"/>
      </w:pPr>
    </w:lvl>
    <w:lvl w:ilvl="3" w:tplc="70567444" w:tentative="1">
      <w:start w:val="1"/>
      <w:numFmt w:val="decimal"/>
      <w:lvlText w:val="%4."/>
      <w:lvlJc w:val="left"/>
      <w:pPr>
        <w:ind w:left="2880" w:hanging="360"/>
      </w:pPr>
    </w:lvl>
    <w:lvl w:ilvl="4" w:tplc="70567444" w:tentative="1">
      <w:start w:val="1"/>
      <w:numFmt w:val="lowerLetter"/>
      <w:lvlText w:val="%5."/>
      <w:lvlJc w:val="left"/>
      <w:pPr>
        <w:ind w:left="3600" w:hanging="360"/>
      </w:pPr>
    </w:lvl>
    <w:lvl w:ilvl="5" w:tplc="70567444" w:tentative="1">
      <w:start w:val="1"/>
      <w:numFmt w:val="lowerRoman"/>
      <w:lvlText w:val="%6."/>
      <w:lvlJc w:val="right"/>
      <w:pPr>
        <w:ind w:left="4320" w:hanging="180"/>
      </w:pPr>
    </w:lvl>
    <w:lvl w:ilvl="6" w:tplc="70567444" w:tentative="1">
      <w:start w:val="1"/>
      <w:numFmt w:val="decimal"/>
      <w:lvlText w:val="%7."/>
      <w:lvlJc w:val="left"/>
      <w:pPr>
        <w:ind w:left="5040" w:hanging="360"/>
      </w:pPr>
    </w:lvl>
    <w:lvl w:ilvl="7" w:tplc="70567444" w:tentative="1">
      <w:start w:val="1"/>
      <w:numFmt w:val="lowerLetter"/>
      <w:lvlText w:val="%8."/>
      <w:lvlJc w:val="left"/>
      <w:pPr>
        <w:ind w:left="5760" w:hanging="360"/>
      </w:pPr>
    </w:lvl>
    <w:lvl w:ilvl="8" w:tplc="70567444" w:tentative="1">
      <w:start w:val="1"/>
      <w:numFmt w:val="lowerRoman"/>
      <w:lvlText w:val="%9."/>
      <w:lvlJc w:val="right"/>
      <w:pPr>
        <w:ind w:left="6480" w:hanging="180"/>
      </w:pPr>
    </w:lvl>
  </w:abstractNum>
  <w:abstractNum w:abstractNumId="28485">
    <w:multiLevelType w:val="hybridMultilevel"/>
    <w:lvl w:ilvl="0" w:tplc="651905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485">
    <w:abstractNumId w:val="28485"/>
  </w:num>
  <w:num w:numId="49018009">
    <w:abstractNumId w:val="4901800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9259001" Type="http://schemas.openxmlformats.org/officeDocument/2006/relationships/numbering" Target="numbering.xml"/><Relationship Id="rId818868134" Type="http://schemas.openxmlformats.org/officeDocument/2006/relationships/comments" Target="comments.xml"/><Relationship Id="rId234467a8ab935878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