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7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rFootnRef"/>
        </w:rPr>
        <w:footnoteReference w:id="19902"/>
      </w:r>
      <w:r>
        <w:rPr/>
        <w:t xml:space="preserve"> In this case, the purpose of Paul’s ministry seems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rFootnRef"/>
        </w:rPr>
        <w:footnoteReference w:id="29700"/>
      </w:r>
      <w:r>
        <w:rPr/>
        <w:t xml:space="preserve">or leads to godliness.</w:t>
      </w:r>
      <w:r>
        <w:rPr>
          <w:rStyle w:val="rFootnRef"/>
        </w:rPr>
        <w:footnoteReference w:id="30412"/>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rFootnRef"/>
        </w:rPr>
        <w:footnoteReference w:id="17325"/>
      </w:r>
      <w:r>
        <w:rPr/>
        <w:t xml:space="preserve"> or to ages during the time of humanity, from Adam forward.</w:t>
      </w:r>
      <w:r>
        <w:rPr>
          <w:rStyle w:val="rFootnRef"/>
        </w:rPr>
        <w:footnoteReference w:id="22047"/>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It seems that Paul visited Crete after his imprisonment in Rome, so this visit occurred after Acts 28.</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rFootnRef"/>
        </w:rPr>
        <w:footnoteReference w:id="32715"/>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rFootnRef"/>
        </w:rPr>
        <w:footnoteReference w:id="18087"/>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rFootnRef"/>
        </w:rPr>
        <w:footnoteReference w:id="26261"/>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rFootnRef"/>
        </w:rPr>
        <w:footnoteReference w:id="21688"/>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rFootnRef"/>
        </w:rPr>
        <w:footnoteReference w:id="20806"/>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rFootnRef"/>
        </w:rPr>
        <w:footnoteReference w:id="28962"/>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However, in this context “unfit” seems to catch the sense of what Paul is saying.</w:t>
      </w:r>
      <w:r>
        <w:rPr>
          <w:rStyle w:val="rFootnRef"/>
        </w:rPr>
        <w:footnoteReference w:id="1184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rFootnRef"/>
        </w:rPr>
        <w:footnoteReference w:id="20782"/>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rFootnRef"/>
        </w:rPr>
        <w:footnoteReference w:id="27454"/>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rFootnRef"/>
        </w:rPr>
        <w:footnoteReference w:id="25491"/>
      </w:r>
    </w:p>
    <w:p>
      <w:pPr>
        <w:pStyle w:val="rNormal"/>
        <w:widowControl w:val="on"/>
        <w:spacing w:before="240" w:after="240" w:line="240" w:lineRule="auto"/>
        <w:ind w:left="0" w:right="0"/>
        <w:jc w:val="left"/>
      </w:pPr>
      <w:r>
        <w:rPr/>
        <w:t xml:space="preserve">[For more on the Granville Sharp rule, see commentary on 2 Pet. 1:1.]</w:t>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[Some further resources on this verse and the doctrine of the Trinity are: Graeser, Lynn, Schoenheit, </w:t>
      </w:r>
      <w:r>
        <w:rPr>
          <w:i/>
          <w:iCs/>
        </w:rPr>
        <w:t xml:space="preserve">One God &amp; One Lord</w:t>
      </w:r>
      <w:r>
        <w:rPr/>
        <w:t xml:space="preserve">; Don Snedeker, </w:t>
      </w:r>
      <w:r>
        <w:rPr>
          <w:i/>
          <w:iCs/>
        </w:rPr>
        <w:t xml:space="preserve">Our Heavenly Father Has No Equals,</w:t>
      </w:r>
      <w:r>
        <w:rPr/>
        <w:t xml:space="preserve"> 452-459); Patrick Navas</w:t>
      </w:r>
      <w:r>
        <w:rPr>
          <w:i/>
          <w:iCs/>
        </w:rPr>
        <w:t xml:space="preserve">, Divine Truth or Human Tradition,</w:t>
      </w:r>
      <w:r>
        <w:rPr/>
        <w:t xml:space="preserve"> 309-319); Anthony Buzzard and Charles Hunting, </w:t>
      </w:r>
      <w:r>
        <w:rPr>
          <w:i/>
          <w:iCs/>
        </w:rPr>
        <w:t xml:space="preserve">The Doctrine of the Trinity: Christianity’s Self-Inflicted Wound</w:t>
      </w:r>
      <w:r>
        <w:rPr/>
        <w:t xml:space="preserve">, 279-281).]</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rFootnRef"/>
        </w:rPr>
        <w:footnoteReference w:id="32585"/>
      </w:r>
      <w:r>
        <w:rPr/>
        <w:t xml:space="preserve"> William Mounce translates the verse using “a special people: “who gave himself for us in order that he might redeem us from all lawlessness and cleanse for himself a special people, a zealot for good works.”</w:t>
      </w:r>
      <w:r>
        <w:rPr>
          <w:rStyle w:val="rFootnRef"/>
        </w:rPr>
        <w:footnoteReference w:id="12188"/>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rFootnRef"/>
        </w:rPr>
        <w:footnoteReference w:id="16574"/>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rFootnRef"/>
        </w:rPr>
        <w:footnoteReference w:id="11827"/>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rFootnRef"/>
        </w:rPr>
        <w:footnoteReference w:id="27761"/>
      </w:r>
      <w:r>
        <w:rPr/>
        <w:t xml:space="preserve"> “benevolence,”</w:t>
      </w:r>
      <w:r>
        <w:rPr>
          <w:rStyle w:val="rFootnRef"/>
        </w:rPr>
        <w:footnoteReference w:id="23424"/>
      </w:r>
      <w:r>
        <w:rPr/>
        <w:t xml:space="preserve"> “a friendly disposition toward people.”</w:t>
      </w:r>
      <w:r>
        <w:rPr>
          <w:rStyle w:val="rFootnRef"/>
        </w:rPr>
        <w:footnoteReference w:id="31665"/>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on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[that are connected to]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on the basis of His mercy. The RSV has “in virtue of his mercy,” which is somewhat archaic vocabulary today, but catches the sense of the passage, and so does </w:t>
      </w:r>
      <w:r>
        <w:rPr>
          <w:i/>
          <w:iCs/>
        </w:rPr>
        <w:t xml:space="preserve">The Source New Testament</w:t>
      </w:r>
      <w:r>
        <w:rPr/>
        <w:t xml:space="preserve">, which has,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is </w:t>
      </w:r>
      <w:r>
        <w:rPr>
          <w:i/>
          <w:iCs/>
        </w:rPr>
        <w:t xml:space="preserve">palingenesia</w:t>
      </w:r>
      <w:r>
        <w:rPr/>
        <w:t xml:space="preserve"> (#3824 παλιγγενεσία), this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genesis when referring to birth, because birth is the beginning or origin of our independent life on earth. However, genesis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that guarantees the person everlasting life.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sealed inside them (Eph. 1:13), which guarantees their place in the future kingdom of the Messiah on earth.</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 Born-again believers are holy because they have God’s divine and holy nature born in them. Having God’s nature, holy spirit, born inside us makes us into something new, different, and superior to what we were before. So it is the holy spirit that is born in us that gives us “renewal,” that is, makes us into something new.</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rFootnRef"/>
        </w:rPr>
        <w:footnoteReference w:id="24943"/>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which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rFootnRef"/>
        </w:rPr>
        <w:footnoteReference w:id="27452"/>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rFootnRef"/>
        </w:rPr>
        <w:footnoteReference w:id="15123"/>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rFootnRef"/>
        </w:rPr>
        <w:footnoteReference w:id="11805"/>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677467a8aba2654f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100722"/>
      <w:docPartObj>
        <w:docPartGallery w:val="Page Numbers (Bottom of Page)"/>
        <w:docPartUnique/>
      </w:docPartObj>
    </w:sdtPr>
    <w:sdtContent>
      <w:sdt>
        <w:sdtPr>
          <w:id w:val="3209280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902">
    <w:p>
      <w:pPr>
        <w:pStyle w:val="rFootn"/>
      </w:pPr>
      <w:r>
        <w:rPr>
          <w:rStyle w:val="rFootnRef"/>
        </w:rPr>
        <w:footnoteRef/>
      </w:r>
      <w:r>
        <w:t xml:space="preserve"> BDAG, s.v. “κατά.”</w:t>
      </w:r>
    </w:p>
  </w:footnote>
  <w:footnote w:id="29700">
    <w:p>
      <w:pPr>
        <w:pStyle w:val="rFootn"/>
      </w:pPr>
      <w:r>
        <w:rPr>
          <w:rStyle w:val="rFootnRef"/>
        </w:rPr>
        <w:footnoteRef/>
      </w:r>
      <w:r>
        <w:t xml:space="preserve"> Cp. W. Mounce, </w:t>
      </w:r>
      <w:r>
        <w:rPr>
          <w:i/>
        </w:rPr>
        <w:t xml:space="preserve">The Pastoral Epistles</w:t>
      </w:r>
      <w:r>
        <w:t xml:space="preserve"> [WBC].</w:t>
      </w:r>
    </w:p>
  </w:footnote>
  <w:footnote w:id="30412">
    <w:p>
      <w:pPr>
        <w:pStyle w:val="rFootn"/>
      </w:pPr>
      <w:r>
        <w:rPr>
          <w:rStyle w:val="rFootnRef"/>
        </w:rPr>
        <w:footnoteRef/>
      </w:r>
      <w:r>
        <w:t xml:space="preserve"> Cp. P. Towner, </w:t>
      </w:r>
      <w:r>
        <w:rPr>
          <w:i/>
        </w:rPr>
        <w:t xml:space="preserve">The Letters to Timothy and Titus</w:t>
      </w:r>
      <w:r>
        <w:t xml:space="preserve"> [NICNT].</w:t>
      </w:r>
    </w:p>
  </w:footnote>
  <w:footnote w:id="17325">
    <w:p>
      <w:pPr>
        <w:pStyle w:val="rFootn"/>
      </w:pPr>
      <w:r>
        <w:rPr>
          <w:rStyle w:val="rFootnRef"/>
        </w:rPr>
        <w:footnoteRef/>
      </w:r>
      <w:r>
        <w:t xml:space="preserve"> Cp. Hendriksen and Kistemaker; W. Mounce; “before time began” (HCSB).</w:t>
      </w:r>
    </w:p>
  </w:footnote>
  <w:footnote w:id="22047">
    <w:p>
      <w:pPr>
        <w:pStyle w:val="rFootn"/>
      </w:pPr>
      <w:r>
        <w:rPr>
          <w:rStyle w:val="rFootnRef"/>
        </w:rPr>
        <w:footnoteRef/>
      </w:r>
      <w:r>
        <w:t xml:space="preserve"> Cp. Robertson; Lange; “ages ago” (RSV).</w:t>
      </w:r>
    </w:p>
  </w:footnote>
  <w:footnote w:id="32715">
    <w:p>
      <w:pPr>
        <w:pStyle w:val="rFootn"/>
      </w:pPr>
      <w:r>
        <w:rPr>
          <w:rStyle w:val="rFootnRef"/>
        </w:rPr>
        <w:footnoteRef/>
      </w:r>
      <w:r>
        <w:t xml:space="preserve"> Philip Towner, </w:t>
      </w:r>
      <w:r>
        <w:rPr>
          <w:i/>
        </w:rPr>
        <w:t xml:space="preserve">The Letters to Timothy and Titus</w:t>
      </w:r>
      <w:r>
        <w:t xml:space="preserve"> [NICNT].</w:t>
      </w:r>
    </w:p>
  </w:footnote>
  <w:footnote w:id="18087">
    <w:p>
      <w:pPr>
        <w:pStyle w:val="rFootn"/>
      </w:pPr>
      <w:r>
        <w:rPr>
          <w:rStyle w:val="rFootnRef"/>
        </w:rPr>
        <w:footnoteRef/>
      </w:r>
      <w:r>
        <w:t xml:space="preserve"> Louw and Nida, s.v. “φιλάγαθος.”</w:t>
      </w:r>
    </w:p>
  </w:footnote>
  <w:footnote w:id="26261">
    <w:p>
      <w:pPr>
        <w:pStyle w:val="rFootn"/>
      </w:pPr>
      <w:r>
        <w:rPr>
          <w:rStyle w:val="rFootnRef"/>
        </w:rPr>
        <w:footnoteRef/>
      </w:r>
      <w:r>
        <w:t xml:space="preserve"> Towner, </w:t>
      </w:r>
      <w:r>
        <w:rPr>
          <w:i/>
        </w:rPr>
        <w:t xml:space="preserve">Letters to Timothy and Titus</w:t>
      </w:r>
      <w:r>
        <w:t xml:space="preserve"> [NICNT], 689.</w:t>
      </w:r>
    </w:p>
  </w:footnote>
  <w:footnote w:id="21688">
    <w:p>
      <w:pPr>
        <w:pStyle w:val="rFootn"/>
      </w:pPr>
      <w:r>
        <w:rPr>
          <w:rStyle w:val="rFootnRef"/>
        </w:rPr>
        <w:footnoteRef/>
      </w:r>
      <w:r>
        <w:t xml:space="preserve"> Trench, </w:t>
      </w:r>
      <w:r>
        <w:rPr>
          <w:i/>
        </w:rPr>
        <w:t xml:space="preserve">Synonyms of the New Testament</w:t>
      </w:r>
      <w:r>
        <w:t xml:space="preserve">, 327-333.</w:t>
      </w:r>
    </w:p>
  </w:footnote>
  <w:footnote w:id="20806">
    <w:p>
      <w:pPr>
        <w:pStyle w:val="rFootn"/>
      </w:pPr>
      <w:r>
        <w:rPr>
          <w:rStyle w:val="rFootnRef"/>
        </w:rPr>
        <w:footnoteRef/>
      </w:r>
      <w:r>
        <w:t xml:space="preserve"> Cp. BDAG, s.v. “ὅσιος.”</w:t>
      </w:r>
    </w:p>
  </w:footnote>
  <w:footnote w:id="28962">
    <w:p>
      <w:pPr>
        <w:pStyle w:val="rFootn"/>
      </w:pPr>
      <w:r>
        <w:rPr>
          <w:rStyle w:val="rFootnRef"/>
        </w:rPr>
        <w:footnoteRef/>
      </w:r>
      <w:r>
        <w:t xml:space="preserve"> BDAG, s.v. “ἀνατρέπω.</w:t>
      </w:r>
    </w:p>
  </w:footnote>
  <w:footnote w:id="11840">
    <w:p>
      <w:pPr>
        <w:pStyle w:val="rFootn"/>
      </w:pPr>
      <w:r>
        <w:rPr>
          <w:rStyle w:val="rFootnRef"/>
        </w:rPr>
        <w:footnoteRef/>
      </w:r>
      <w:r>
        <w:t xml:space="preserve"> Cp. BDAG, s.v. “ἀδόκιμος.”</w:t>
      </w:r>
    </w:p>
  </w:footnote>
  <w:footnote w:id="20782">
    <w:p>
      <w:pPr>
        <w:pStyle w:val="rFootn"/>
      </w:pPr>
      <w:r>
        <w:rPr>
          <w:rStyle w:val="rFootnRef"/>
        </w:rPr>
        <w:footnoteRef/>
      </w:r>
      <w:r>
        <w:t xml:space="preserve"> Cp. E. W. Bullinger, </w:t>
      </w:r>
      <w:r>
        <w:rPr>
          <w:i/>
        </w:rPr>
        <w:t xml:space="preserve">Figures of Speech Used in the Bible</w:t>
      </w:r>
      <w:r>
        <w:t xml:space="preserve">, 137, “asyndeton,” “no ands.”</w:t>
      </w:r>
    </w:p>
  </w:footnote>
  <w:footnote w:id="27454">
    <w:p>
      <w:pPr>
        <w:pStyle w:val="rFootn"/>
      </w:pPr>
      <w:r>
        <w:rPr>
          <w:rStyle w:val="rFootnRef"/>
        </w:rPr>
        <w:footnoteRef/>
      </w:r>
      <w:r>
        <w:t xml:space="preserve"> Hendriksen and Kistemaker, </w:t>
      </w:r>
      <w:r>
        <w:rPr>
          <w:i/>
        </w:rPr>
        <w:t xml:space="preserve">New Testament Commentary: Exposition of the Pastoral Epistles</w:t>
      </w:r>
      <w:r>
        <w:t xml:space="preserve">, 366.</w:t>
      </w:r>
    </w:p>
  </w:footnote>
  <w:footnote w:id="25491">
    <w:p>
      <w:pPr>
        <w:pStyle w:val="rFootn"/>
      </w:pPr>
      <w:r>
        <w:rPr>
          <w:rStyle w:val="rFootnRef"/>
        </w:rPr>
        <w:footnoteRef/>
      </w:r>
      <w:r>
        <w:t xml:space="preserve"> Henry Alford, </w:t>
      </w:r>
      <w:r>
        <w:rPr>
          <w:i/>
        </w:rPr>
        <w:t xml:space="preserve">The Greek Testament</w:t>
      </w:r>
      <w:r>
        <w:t xml:space="preserve">, 3:419-20, entry on Titus 2:13.</w:t>
      </w:r>
    </w:p>
  </w:footnote>
  <w:footnote w:id="32585">
    <w:p>
      <w:pPr>
        <w:pStyle w:val="rFootn"/>
      </w:pPr>
      <w:r>
        <w:rPr>
          <w:rStyle w:val="rFootnRef"/>
        </w:rPr>
        <w:footnoteRef/>
      </w:r>
      <w:r>
        <w:t xml:space="preserve"> Walter Lock, </w:t>
      </w:r>
      <w:r>
        <w:rPr>
          <w:i/>
        </w:rPr>
        <w:t xml:space="preserve">The Pastoral Epistles</w:t>
      </w:r>
      <w:r>
        <w:t xml:space="preserve"> [ICC].</w:t>
      </w:r>
    </w:p>
  </w:footnote>
  <w:footnote w:id="12188">
    <w:p>
      <w:pPr>
        <w:pStyle w:val="rFootn"/>
      </w:pPr>
      <w:r>
        <w:rPr>
          <w:rStyle w:val="rFootnRef"/>
        </w:rPr>
        <w:footnoteRef/>
      </w:r>
      <w:r>
        <w:t xml:space="preserve"> William Mounce, </w:t>
      </w:r>
      <w:r>
        <w:rPr>
          <w:i/>
        </w:rPr>
        <w:t xml:space="preserve">Pastoral Epistles</w:t>
      </w:r>
      <w:r>
        <w:t xml:space="preserve"> [WBC].</w:t>
      </w:r>
    </w:p>
  </w:footnote>
  <w:footnote w:id="16574">
    <w:p>
      <w:pPr>
        <w:pStyle w:val="rFootn"/>
      </w:pPr>
      <w:r>
        <w:rPr>
          <w:rStyle w:val="rFootnRef"/>
        </w:rPr>
        <w:footnoteRef/>
      </w:r>
      <w:r>
        <w:t xml:space="preserve"> Mounce [WBC].</w:t>
      </w:r>
    </w:p>
  </w:footnote>
  <w:footnote w:id="11827">
    <w:p>
      <w:pPr>
        <w:pStyle w:val="rFootn"/>
      </w:pPr>
      <w:r>
        <w:rPr>
          <w:rStyle w:val="rFootnRef"/>
        </w:rPr>
        <w:footnoteRef/>
      </w:r>
      <w:r>
        <w:t xml:space="preserve"> Bromiley, </w:t>
      </w:r>
      <w:r>
        <w:rPr>
          <w:i/>
        </w:rPr>
        <w:t xml:space="preserve">Theological Dictionary of the New Testament</w:t>
      </w:r>
      <w:r>
        <w:t xml:space="preserve">, s.v. “περιούσιον.”</w:t>
      </w:r>
    </w:p>
  </w:footnote>
  <w:footnote w:id="27761">
    <w:p>
      <w:pPr>
        <w:pStyle w:val="rFootn"/>
      </w:pPr>
      <w:r>
        <w:rPr>
          <w:rStyle w:val="rFootnRef"/>
        </w:rPr>
        <w:footnoteRef/>
      </w:r>
      <w:r>
        <w:t xml:space="preserve"> BDAG, s.v. “φιλανθρωπία.”</w:t>
      </w:r>
    </w:p>
  </w:footnote>
  <w:footnote w:id="23424">
    <w:p>
      <w:pPr>
        <w:pStyle w:val="rFootn"/>
      </w:pPr>
      <w:r>
        <w:rPr>
          <w:rStyle w:val="rFootnRef"/>
        </w:rPr>
        <w:footnoteRef/>
      </w:r>
      <w:r>
        <w:t xml:space="preserve"> Thayer, s.v. “φιλανθρωπία.”</w:t>
      </w:r>
    </w:p>
  </w:footnote>
  <w:footnote w:id="31665">
    <w:p>
      <w:pPr>
        <w:pStyle w:val="rFootn"/>
      </w:pPr>
      <w:r>
        <w:rPr>
          <w:rStyle w:val="rFootnRef"/>
        </w:rPr>
        <w:footnoteRef/>
      </w:r>
      <w:r>
        <w:t xml:space="preserve"> Friberg, s.v. “φιλανθρωπία.”</w:t>
      </w:r>
    </w:p>
  </w:footnote>
  <w:footnote w:id="24943">
    <w:p>
      <w:pPr>
        <w:pStyle w:val="rFootn"/>
      </w:pPr>
      <w:r>
        <w:rPr>
          <w:rStyle w:val="rFootnRef"/>
        </w:rPr>
        <w:footnoteRef/>
      </w:r>
      <w:r>
        <w:t xml:space="preserve"> Cp. Wallace, </w:t>
      </w:r>
      <w:r>
        <w:rPr>
          <w:i/>
        </w:rPr>
        <w:t xml:space="preserve">Greek Grammar Beyond the Basics</w:t>
      </w:r>
      <w:r>
        <w:t xml:space="preserve">, 104-106.</w:t>
      </w:r>
    </w:p>
  </w:footnote>
  <w:footnote w:id="27452">
    <w:p>
      <w:pPr>
        <w:pStyle w:val="rFootn"/>
      </w:pPr>
      <w:r>
        <w:rPr>
          <w:rStyle w:val="rFootnRef"/>
        </w:rPr>
        <w:footnoteRef/>
      </w:r>
      <w:r>
        <w:t xml:space="preserve"> Robertson, </w:t>
      </w:r>
      <w:r>
        <w:rPr>
          <w:i/>
        </w:rPr>
        <w:t xml:space="preserve">Word Pictures in the New Testament</w:t>
      </w:r>
      <w:r>
        <w:t xml:space="preserve">, 4:607-08.</w:t>
      </w:r>
    </w:p>
  </w:footnote>
  <w:footnote w:id="15123">
    <w:p>
      <w:pPr>
        <w:pStyle w:val="rFootn"/>
      </w:pPr>
      <w:r>
        <w:rPr>
          <w:rStyle w:val="rFootnRef"/>
        </w:rPr>
        <w:footnoteRef/>
      </w:r>
      <w:r>
        <w:t xml:space="preserve"> Towner, </w:t>
      </w:r>
      <w:r>
        <w:rPr>
          <w:i/>
        </w:rPr>
        <w:t xml:space="preserve">The Letters to Timothy and Titus</w:t>
      </w:r>
      <w:r>
        <w:t xml:space="preserve"> [NICNT].</w:t>
      </w:r>
    </w:p>
  </w:footnote>
  <w:footnote w:id="11805">
    <w:p>
      <w:pPr>
        <w:pStyle w:val="rFootn"/>
      </w:pPr>
      <w:r>
        <w:rPr>
          <w:rStyle w:val="rFootnRef"/>
        </w:rPr>
        <w:footnoteRef/>
      </w:r>
      <w:r>
        <w:t xml:space="preserve"> R. C. H. Lenski, </w:t>
      </w:r>
      <w:r>
        <w:rPr>
          <w:i/>
        </w:rPr>
        <w:t xml:space="preserve">St. Paul’s Epistles to Timothy, Titus, and Philemon</w:t>
      </w:r>
      <w:r>
        <w:t xml:space="preserve">, 946-47.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130731">
    <w:multiLevelType w:val="hybridMultilevel"/>
    <w:lvl w:ilvl="0" w:tplc="58173438">
      <w:start w:val="1"/>
      <w:numFmt w:val="decimal"/>
      <w:lvlText w:val="%1."/>
      <w:lvlJc w:val="left"/>
      <w:pPr>
        <w:ind w:left="720" w:hanging="360"/>
      </w:pPr>
    </w:lvl>
    <w:lvl w:ilvl="1" w:tplc="58173438" w:tentative="1">
      <w:start w:val="1"/>
      <w:numFmt w:val="lowerLetter"/>
      <w:lvlText w:val="%2."/>
      <w:lvlJc w:val="left"/>
      <w:pPr>
        <w:ind w:left="1440" w:hanging="360"/>
      </w:pPr>
    </w:lvl>
    <w:lvl w:ilvl="2" w:tplc="58173438" w:tentative="1">
      <w:start w:val="1"/>
      <w:numFmt w:val="lowerRoman"/>
      <w:lvlText w:val="%3."/>
      <w:lvlJc w:val="right"/>
      <w:pPr>
        <w:ind w:left="2160" w:hanging="180"/>
      </w:pPr>
    </w:lvl>
    <w:lvl w:ilvl="3" w:tplc="58173438" w:tentative="1">
      <w:start w:val="1"/>
      <w:numFmt w:val="decimal"/>
      <w:lvlText w:val="%4."/>
      <w:lvlJc w:val="left"/>
      <w:pPr>
        <w:ind w:left="2880" w:hanging="360"/>
      </w:pPr>
    </w:lvl>
    <w:lvl w:ilvl="4" w:tplc="58173438" w:tentative="1">
      <w:start w:val="1"/>
      <w:numFmt w:val="lowerLetter"/>
      <w:lvlText w:val="%5."/>
      <w:lvlJc w:val="left"/>
      <w:pPr>
        <w:ind w:left="3600" w:hanging="360"/>
      </w:pPr>
    </w:lvl>
    <w:lvl w:ilvl="5" w:tplc="58173438" w:tentative="1">
      <w:start w:val="1"/>
      <w:numFmt w:val="lowerRoman"/>
      <w:lvlText w:val="%6."/>
      <w:lvlJc w:val="right"/>
      <w:pPr>
        <w:ind w:left="4320" w:hanging="180"/>
      </w:pPr>
    </w:lvl>
    <w:lvl w:ilvl="6" w:tplc="58173438" w:tentative="1">
      <w:start w:val="1"/>
      <w:numFmt w:val="decimal"/>
      <w:lvlText w:val="%7."/>
      <w:lvlJc w:val="left"/>
      <w:pPr>
        <w:ind w:left="5040" w:hanging="360"/>
      </w:pPr>
    </w:lvl>
    <w:lvl w:ilvl="7" w:tplc="58173438" w:tentative="1">
      <w:start w:val="1"/>
      <w:numFmt w:val="lowerLetter"/>
      <w:lvlText w:val="%8."/>
      <w:lvlJc w:val="left"/>
      <w:pPr>
        <w:ind w:left="5760" w:hanging="360"/>
      </w:pPr>
    </w:lvl>
    <w:lvl w:ilvl="8" w:tplc="58173438" w:tentative="1">
      <w:start w:val="1"/>
      <w:numFmt w:val="lowerRoman"/>
      <w:lvlText w:val="%9."/>
      <w:lvlJc w:val="right"/>
      <w:pPr>
        <w:ind w:left="6480" w:hanging="180"/>
      </w:pPr>
    </w:lvl>
  </w:abstractNum>
  <w:abstractNum w:abstractNumId="18801">
    <w:multiLevelType w:val="hybridMultilevel"/>
    <w:lvl w:ilvl="0" w:tplc="181410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801">
    <w:abstractNumId w:val="18801"/>
  </w:num>
  <w:num w:numId="52130731">
    <w:abstractNumId w:val="521307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9614650" Type="http://schemas.openxmlformats.org/officeDocument/2006/relationships/numbering" Target="numbering.xml"/><Relationship Id="rId200636639" Type="http://schemas.openxmlformats.org/officeDocument/2006/relationships/comments" Target="comments.xml"/><Relationship Id="rId677467a8aba2654f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