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rFootnRef"/>
        </w:rPr>
        <w:footnoteReference w:id="13989"/>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rFootnRef"/>
        </w:rPr>
        <w:footnoteReference w:id="26595"/>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caused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 as “Lord” and “Head” it is axiomatic that he be in communication with people. He cannot function as “Lord” if he cannot communicate to those people subject to him, and he cannot be “Head” in any meaningful way unless he can be in communication with his Body, the Church. But that communication is not a one-way street. We cannot truly have Jesus as our “Lord” or “Head” if we cannot communicate to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rFootnRef"/>
        </w:rPr>
        <w:footnoteReference w:id="11387"/>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rFootnRef"/>
        </w:rPr>
        <w:footnoteReference w:id="30269"/>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rFootnRef"/>
        </w:rPr>
        <w:footnoteReference w:id="17464"/>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rFootnRef"/>
        </w:rPr>
        <w:footnoteReference w:id="32168"/>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rFootnRef"/>
        </w:rPr>
        <w:footnoteReference w:id="22842"/>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cleansed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on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Appendix 15: “Usages of ‘Spirit’” and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rFootnRef"/>
        </w:rPr>
        <w:footnoteReference w:id="12771"/>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rFootnRef"/>
        </w:rPr>
        <w:footnoteReference w:id="19905"/>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rFootnRef"/>
        </w:rPr>
        <w:footnoteReference w:id="24262"/>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rFootnRef"/>
        </w:rPr>
        <w:footnoteReference w:id="19265"/>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rFootnRef"/>
        </w:rPr>
        <w:footnoteReference w:id="18400"/>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rFootnRef"/>
        </w:rPr>
        <w:footnoteReference w:id="24677"/>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the BDAG describes as, “pertaining to being morally or socially worthless; therefore, ‘wicked, evil, bad, base, worthless, vicious, and degenerate.’”</w:t>
      </w:r>
      <w:r>
        <w:rPr>
          <w:rStyle w:val="rFootnRef"/>
        </w:rPr>
        <w:footnoteReference w:id="31460"/>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the word study on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rFootnRef"/>
        </w:rPr>
        <w:footnoteReference w:id="28424"/>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w:t>
      </w:r>
    </w:p>
    <w:p>
      <w:pPr>
        <w:pStyle w:val="rNormal"/>
        <w:widowControl w:val="on"/>
        <w:spacing w:before="240" w:after="240" w:line="240" w:lineRule="auto"/>
        <w:ind w:left="0" w:right="0"/>
        <w:jc w:val="left"/>
      </w:pPr>
      <w:r>
        <w:rPr/>
        <w:t xml:space="preserve">[For more on the New Birth, see commentary on 1 Pet. 1:3.]</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pronounced fan-er-'o-o),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rFootnRef"/>
        </w:rPr>
        <w:footnoteReference w:id="13033"/>
      </w:r>
    </w:p>
    <w:p>
      <w:pPr>
        <w:pStyle w:val="rNormal"/>
        <w:widowControl w:val="on"/>
        <w:spacing w:before="240" w:after="240" w:line="240" w:lineRule="auto"/>
        <w:ind w:left="0" w:right="0" w:firstLine="1"/>
        <w:jc w:val="left"/>
      </w:pPr>
      <w:r>
        <w:rPr>
          <w:b/>
          <w:bCs/>
        </w:rPr>
        <w:t xml:space="preserve">“We know that.”</w:t>
      </w:r>
      <w:r>
        <w:rPr/>
        <w:t xml:space="preserve"> This verse, 1 John 3:2, is one of the many verses that show that Christian salvation is permanent, and that Christians cannot lose their salvation. There are many verses that say in many different ways that we cannot lose our salvation. For example, Romans 10:9, which tells us how to be saved, says if we confessed and believed that Jesus is raised from the dead and is Lord, we “will be saved.” It does not say “we will be saved if…,” but simply and accurately, “we will be saved.” The Christian is “born again,” (1 Pet. 1:3, 23), and our New Birth is permanent. We have a new nature, and a person’s birth nature is permanent (2 Pet. 1:4). We died with Christ and so we will be in a resurrection like his (Rom. 6:5). Many other texts show that our salvation is permanent and cannot be lost.</w:t>
      </w:r>
    </w:p>
    <w:p>
      <w:pPr>
        <w:pStyle w:val="rNormal"/>
        <w:widowControl w:val="on"/>
        <w:spacing w:before="240" w:after="240" w:line="240" w:lineRule="auto"/>
        <w:ind w:left="0" w:right="0"/>
        <w:jc w:val="left"/>
      </w:pPr>
      <w:r>
        <w:rPr/>
        <w:t xml:space="preserve">There are also verses that teach our salvation is permanent by saying that we “know” that we will be with Christ in the future. If our salvation was not permanent, we could “hope” we would be saved, or “pray” we would be saved, but we could not “know” we would be saved.</w:t>
      </w:r>
    </w:p>
    <w:p>
      <w:pPr>
        <w:pStyle w:val="rNormal"/>
        <w:widowControl w:val="on"/>
        <w:spacing w:before="240" w:after="240" w:line="240" w:lineRule="auto"/>
        <w:ind w:left="0" w:right="0"/>
        <w:jc w:val="left"/>
      </w:pPr>
      <w:r>
        <w:rPr/>
        <w:t xml:space="preserve">We cannot know the future, so we cannot “know” that we will be faithful to God for our whole life. We cannot “know” that nothing will turn us away from God at some point in the future. There have been many people who were committed Christians at one point in their lives who completely rejected God and repudiated their Christian commitment later in life, and we cannot be completely sure that that would not happen to us. So, if it is possible for a Christian to lose their salvation, then we cannot “know” we will be saved. But the Bible has several verses that say we can “know” about our future and that we will be saved, and these verses are more solid evidence that Christians cannot lose their salvation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the New Birth, see commentary on Titus 3:5, and 1 Pet. 1:3 and 1:23. For more on our new, divine nature, see commentary on 2 Pet. 1:4. For more on confession and belief in Christ being a one-time event and resulting in an immediate change in the person, see commentary on Rom. 10:9.]</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“…the Gentiles will hope in him [Christ]”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“continue sinning.”</w:t>
      </w:r>
      <w:r>
        <w:rPr/>
        <w:t xml:space="preserve"> In this section, the Greek is very clear, but it is challenging to translate it into English. In 1 John 3:6-9, the word “sin” when it is a verb, or the verb </w:t>
      </w:r>
      <w:r>
        <w:rPr>
          <w:i/>
          <w:iCs/>
        </w:rPr>
        <w:t xml:space="preserve">poieō</w:t>
      </w:r>
      <w:r>
        <w:rPr/>
        <w:t xml:space="preserve">, “to do, to make,” when it is paired with “sin” or “righteousness,” are active verbs in the present tense. The impact of this cannot be overstressed. For example, it misses the point of the Greek entirely to say, “He who commits sin is of the Devil,” (1 John 3:8 RSV), as if committing a sin made a person of the Devil. The Greek active present means: “He who keeps committing sin,” or “He who makes a practice of sin,” or “He who continually commits sin,” or “He who is continually sinning,” etc. The Devil makes a habitual practice of committing sin, and those who do the same are of the Devil.</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rFootnRef"/>
        </w:rPr>
        <w:footnoteReference w:id="29392"/>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It is called “incorruptible” seed in 1 Peter 1:23, and when it is created in the person they are “born again.” The “seed,” the gift of holy spirit, is created in the person, which is why the person is a “new creation” (2 Cor. 5:17), and it gives the person a new, holy, divine nature (2 Pet. 1:4). The seed is permanent; it is “sealed” in the believer and guarantees them everlasting life (Eph. 1:13-14).</w:t>
      </w:r>
    </w:p>
    <w:p>
      <w:pPr>
        <w:pStyle w:val="rNormal"/>
        <w:widowControl w:val="on"/>
        <w:spacing w:before="240" w:after="240" w:line="240" w:lineRule="auto"/>
        <w:ind w:left="0" w:right="0"/>
        <w:jc w:val="left"/>
      </w:pPr>
      <w:r>
        <w:rPr/>
        <w:t xml:space="preserve">[For more information on “seed” see commentary on 1 Pet. 1:23. 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rFootnRef"/>
        </w:rPr>
        <w:footnoteReference w:id="28741"/>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and would also mean that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has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rFootnRef"/>
        </w:rPr>
        <w:footnoteReference w:id="21871"/>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rFootnRef"/>
        </w:rPr>
        <w:footnoteReference w:id="23165"/>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rFootnRef"/>
        </w:rPr>
        <w:footnoteReference w:id="21399"/>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rFootnRef"/>
        </w:rPr>
        <w:footnoteReference w:id="15943"/>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rFootnRef"/>
        </w:rPr>
        <w:footnoteReference w:id="28251"/>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rFootnRef"/>
        </w:rPr>
        <w:footnoteReference w:id="12312"/>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rFootnRef"/>
        </w:rPr>
        <w:footnoteReference w:id="12442"/>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the commentary on 1 John 4:13; “of his spirit.”</w:t>
      </w:r>
      <w:r>
        <w:rPr>
          <w:rStyle w:val="rFootnRef"/>
        </w:rPr>
        <w:footnoteReference w:id="1747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 (Lenski; Meier).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ours).</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rFootnRef"/>
        </w:rPr>
        <w:footnoteReference w:id="24848"/>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rFootnRef"/>
        </w:rPr>
        <w:footnoteReference w:id="27478"/>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rFootnRef"/>
        </w:rPr>
        <w:footnoteReference w:id="10162"/>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rFootnRef"/>
        </w:rPr>
        <w:footnoteReference w:id="28853"/>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rFootnRef"/>
        </w:rPr>
        <w:footnoteReference w:id="30884"/>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rFootnRef"/>
        </w:rPr>
        <w:footnoteReference w:id="15467"/>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 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rFootnRef"/>
        </w:rPr>
        <w:footnoteReference w:id="16170"/>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rFootnRef"/>
        </w:rPr>
        <w:footnoteReference w:id="28266"/>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rFootnRef"/>
        </w:rPr>
        <w:footnoteReference w:id="22478"/>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rFootnRef"/>
        </w:rPr>
        <w:footnoteReference w:id="23928"/>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“We accept man’s testimony, but God’s testimony is greater because it is the testimony of God which He has given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rFootnRef"/>
        </w:rPr>
        <w:footnoteReference w:id="13960"/>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This verse, 1 John 5:13, is one of the many verses that show that Christian salvation is permanent, and that Christians cannot lose their salvation. By saying we can “know” we will be with Christ in the future, the verse is saying our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rFootnRef"/>
        </w:rPr>
        <w:footnoteReference w:id="21055"/>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rFootnRef"/>
        </w:rPr>
        <w:footnoteReference w:id="27330"/>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rFootnRef"/>
        </w:rPr>
        <w:footnoteReference w:id="23260"/>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rFootnRef"/>
        </w:rPr>
        <w:footnoteReference w:id="26269"/>
      </w:r>
      <w:r>
        <w:rPr/>
        <w:t xml:space="preserve"> The “evil one,” the Devil, harms Christians all the time. However, because their salvation is assured, he cannot harm them eternally, only in this life. Therefore, any harm he does is considered as nothing when compared to eternity. Thus the phrase, “the evil one does not touch him,” causes us to look at our lives from an eternal,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the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rFootnRef"/>
        </w:rPr>
        <w:footnoteReference w:id="28448"/>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675367a8aba3d11b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607540"/>
      <w:docPartObj>
        <w:docPartGallery w:val="Page Numbers (Bottom of Page)"/>
        <w:docPartUnique/>
      </w:docPartObj>
    </w:sdtPr>
    <w:sdtContent>
      <w:sdt>
        <w:sdtPr>
          <w:id w:val="3448394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989">
    <w:p>
      <w:pPr>
        <w:pStyle w:val="rFootn"/>
      </w:pPr>
      <w:r>
        <w:rPr>
          <w:rStyle w:val="rFootnRef"/>
        </w:rPr>
        <w:footnoteRef/>
      </w:r>
      <w:r>
        <w:t xml:space="preserve"> Thayer </w:t>
      </w:r>
      <w:r>
        <w:rPr>
          <w:i/>
        </w:rPr>
        <w:t xml:space="preserve">Greek-English Lexicon</w:t>
      </w:r>
      <w:r>
        <w:t xml:space="preserve">, s.v. “ἀρχή.”</w:t>
      </w:r>
    </w:p>
  </w:footnote>
  <w:footnote w:id="26595">
    <w:p>
      <w:pPr>
        <w:pStyle w:val="rFootn"/>
      </w:pPr>
      <w:r>
        <w:rPr>
          <w:rStyle w:val="rFootnRef"/>
        </w:rPr>
        <w:footnoteRef/>
      </w:r>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p>
  </w:footnote>
  <w:footnote w:id="11387">
    <w:p>
      <w:pPr>
        <w:pStyle w:val="rFootn"/>
      </w:pPr>
      <w:r>
        <w:rPr>
          <w:rStyle w:val="rFootnRef"/>
        </w:rPr>
        <w:footnoteRef/>
      </w:r>
      <w:r>
        <w:t xml:space="preserve"> Metzger, </w:t>
      </w:r>
      <w:r>
        <w:rPr>
          <w:i/>
        </w:rPr>
        <w:t xml:space="preserve">Textual Commentary</w:t>
      </w:r>
      <w:r>
        <w:t xml:space="preserve">, xxvi.</w:t>
      </w:r>
    </w:p>
  </w:footnote>
  <w:footnote w:id="30269">
    <w:p>
      <w:pPr>
        <w:pStyle w:val="rFootn"/>
      </w:pPr>
      <w:r>
        <w:rPr>
          <w:rStyle w:val="rFootnRef"/>
        </w:rPr>
        <w:footnoteRef/>
      </w:r>
      <w:r>
        <w:t xml:space="preserve"> Bullinger, </w:t>
      </w:r>
      <w:r>
        <w:rPr>
          <w:i/>
        </w:rPr>
        <w:t xml:space="preserve">Figures of Speech</w:t>
      </w:r>
      <w:r>
        <w:t xml:space="preserve">, 896, “anthropopatheia.”</w:t>
      </w:r>
    </w:p>
  </w:footnote>
  <w:footnote w:id="17464">
    <w:p>
      <w:pPr>
        <w:pStyle w:val="rFootn"/>
      </w:pPr>
      <w:r>
        <w:rPr>
          <w:rStyle w:val="rFootnRef"/>
        </w:rPr>
        <w:footnoteRef/>
      </w:r>
      <w:r>
        <w:t xml:space="preserve"> Cp. Wallace, </w:t>
      </w:r>
      <w:r>
        <w:rPr>
          <w:i/>
        </w:rPr>
        <w:t xml:space="preserve">Greek Grammar Beyond the Basics</w:t>
      </w:r>
      <w:r>
        <w:t xml:space="preserve">.</w:t>
      </w:r>
    </w:p>
  </w:footnote>
  <w:footnote w:id="32168">
    <w:p>
      <w:pPr>
        <w:pStyle w:val="rFootn"/>
      </w:pPr>
      <w:r>
        <w:rPr>
          <w:rStyle w:val="rFootnRef"/>
        </w:rPr>
        <w:footnoteRef/>
      </w:r>
      <w:r>
        <w:t xml:space="preserve"> Anderson, </w:t>
      </w:r>
      <w:r>
        <w:rPr>
          <w:i/>
        </w:rPr>
        <w:t xml:space="preserve">Sin: A History</w:t>
      </w:r>
      <w:r>
        <w:t xml:space="preserve">, 3.</w:t>
      </w:r>
    </w:p>
  </w:footnote>
  <w:footnote w:id="22842">
    <w:p>
      <w:pPr>
        <w:pStyle w:val="rFootn"/>
      </w:pPr>
      <w:r>
        <w:rPr>
          <w:rStyle w:val="rFootnRef"/>
        </w:rPr>
        <w:footnoteRef/>
      </w:r>
      <w:r>
        <w:t xml:space="preserve"> Ann Nyland, </w:t>
      </w:r>
      <w:r>
        <w:rPr>
          <w:i/>
        </w:rPr>
        <w:t xml:space="preserve">The Source New Testament</w:t>
      </w:r>
      <w:r>
        <w:t xml:space="preserve">, note on Col. 2:14, 389n2.</w:t>
      </w:r>
    </w:p>
  </w:footnote>
  <w:footnote w:id="12771">
    <w:p>
      <w:pPr>
        <w:pStyle w:val="rFootn"/>
      </w:pPr>
      <w:r>
        <w:rPr>
          <w:rStyle w:val="rFootnRef"/>
        </w:rPr>
        <w:footnoteRef/>
      </w:r>
      <w:r>
        <w:t xml:space="preserve"> BDAG, s.v. “ἱλασμός.”</w:t>
      </w:r>
    </w:p>
  </w:footnote>
  <w:footnote w:id="19905">
    <w:p>
      <w:pPr>
        <w:pStyle w:val="rFootn"/>
      </w:pPr>
      <w:r>
        <w:rPr>
          <w:rStyle w:val="rFootnRef"/>
        </w:rPr>
        <w:footnoteRef/>
      </w:r>
      <w:r>
        <w:t xml:space="preserve"> Louw and Nida, s.v.“ ἱλασμός.”</w:t>
      </w:r>
    </w:p>
  </w:footnote>
  <w:footnote w:id="24262">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p>
  </w:footnote>
  <w:footnote w:id="19265">
    <w:p>
      <w:pPr>
        <w:pStyle w:val="rFootn"/>
      </w:pPr>
      <w:r>
        <w:rPr>
          <w:rStyle w:val="rFootnRef"/>
        </w:rPr>
        <w:footnoteRef/>
      </w:r>
      <w:r>
        <w:t xml:space="preserve"> Thayer, </w:t>
      </w:r>
      <w:r>
        <w:rPr>
          <w:i/>
        </w:rPr>
        <w:t xml:space="preserve">Greek-English Lexicon</w:t>
      </w:r>
      <w:r>
        <w:t xml:space="preserve">, s.v. “μένω.”</w:t>
      </w:r>
    </w:p>
  </w:footnote>
  <w:footnote w:id="18400">
    <w:p>
      <w:pPr>
        <w:pStyle w:val="rFootn"/>
      </w:pPr>
      <w:r>
        <w:rPr>
          <w:rStyle w:val="rFootnRef"/>
        </w:rPr>
        <w:footnoteRef/>
      </w:r>
      <w:r>
        <w:t xml:space="preserve"> Haas, deJonge, and Swellengrebel, </w:t>
      </w:r>
      <w:r>
        <w:rPr>
          <w:i/>
        </w:rPr>
        <w:t xml:space="preserve">A Translator’s Handbook on the Letters of John</w:t>
      </w:r>
      <w:r>
        <w:t xml:space="preserve">, 47.</w:t>
      </w:r>
    </w:p>
  </w:footnote>
  <w:footnote w:id="24677">
    <w:p>
      <w:pPr>
        <w:pStyle w:val="rFootn"/>
      </w:pPr>
      <w:r>
        <w:rPr>
          <w:rStyle w:val="rFootnRef"/>
        </w:rPr>
        <w:footnoteRef/>
      </w:r>
      <w:r>
        <w:t xml:space="preserve"> Smalley, </w:t>
      </w:r>
      <w:r>
        <w:rPr>
          <w:i/>
        </w:rPr>
        <w:t xml:space="preserve">1,2 &amp; 3 John</w:t>
      </w:r>
      <w:r>
        <w:t xml:space="preserve"> [WBC], 52.</w:t>
      </w:r>
    </w:p>
  </w:footnote>
  <w:footnote w:id="31460">
    <w:p>
      <w:pPr>
        <w:pStyle w:val="rFootn"/>
      </w:pPr>
      <w:r>
        <w:rPr>
          <w:rStyle w:val="rFootnRef"/>
        </w:rPr>
        <w:footnoteRef/>
      </w:r>
      <w:r>
        <w:t xml:space="preserve"> BDAG, s.v. “πονηρός.”</w:t>
      </w:r>
    </w:p>
  </w:footnote>
  <w:footnote w:id="28424">
    <w:p>
      <w:pPr>
        <w:pStyle w:val="rFootn"/>
      </w:pPr>
      <w:r>
        <w:rPr>
          <w:rStyle w:val="rFootnRef"/>
        </w:rPr>
        <w:footnoteRef/>
      </w:r>
      <w:r>
        <w:t xml:space="preserve"> Metzger, </w:t>
      </w:r>
      <w:r>
        <w:rPr>
          <w:i/>
        </w:rPr>
        <w:t xml:space="preserve">Textual Commentary</w:t>
      </w:r>
      <w:r>
        <w:t xml:space="preserve">, 709.</w:t>
      </w:r>
    </w:p>
  </w:footnote>
  <w:footnote w:id="13033">
    <w:p>
      <w:pPr>
        <w:pStyle w:val="rFootn"/>
      </w:pPr>
      <w:r>
        <w:rPr>
          <w:rStyle w:val="rFootnRef"/>
        </w:rPr>
        <w:footnoteRef/>
      </w:r>
      <w:r>
        <w:t xml:space="preserve"> Robertson, </w:t>
      </w:r>
      <w:r>
        <w:rPr>
          <w:i/>
        </w:rPr>
        <w:t xml:space="preserve">Word Pictures in the New Testament</w:t>
      </w:r>
      <w:r>
        <w:t xml:space="preserve">, 6:220-21; </w:t>
      </w:r>
      <w:r>
        <w:rPr>
          <w:i/>
        </w:rPr>
        <w:t xml:space="preserve">Vincent’s Word Studies</w:t>
      </w:r>
      <w:r>
        <w:t xml:space="preserve">, 2:344; </w:t>
      </w:r>
      <w:r>
        <w:rPr>
          <w:i/>
        </w:rPr>
        <w:t xml:space="preserve">Wuest’s Word Studies: 2 Peter, 1,2,3 John, and Jude</w:t>
      </w:r>
      <w:r>
        <w:t xml:space="preserve">, 144.</w:t>
      </w:r>
    </w:p>
  </w:footnote>
  <w:footnote w:id="29392">
    <w:p>
      <w:pPr>
        <w:pStyle w:val="rFootn"/>
      </w:pPr>
      <w:r>
        <w:rPr>
          <w:rStyle w:val="rFootnRef"/>
        </w:rPr>
        <w:footnoteRef/>
      </w:r>
      <w:r>
        <w:t xml:space="preserve"> Wallace, </w:t>
      </w:r>
      <w:r>
        <w:rPr>
          <w:i/>
        </w:rPr>
        <w:t xml:space="preserve">Greek Grammar</w:t>
      </w:r>
      <w:r>
        <w:t xml:space="preserve">, 519-20.</w:t>
      </w:r>
    </w:p>
  </w:footnote>
  <w:footnote w:id="28741">
    <w:p>
      <w:pPr>
        <w:pStyle w:val="rFootn"/>
      </w:pPr>
      <w:r>
        <w:rPr>
          <w:rStyle w:val="rFootnRef"/>
        </w:rPr>
        <w:footnoteRef/>
      </w:r>
      <w:r>
        <w:t xml:space="preserve"> Bruce Metzger, </w:t>
      </w:r>
      <w:r>
        <w:rPr>
          <w:i/>
        </w:rPr>
        <w:t xml:space="preserve">Textual Commentary</w:t>
      </w:r>
      <w:r>
        <w:t xml:space="preserve">, 711.</w:t>
      </w:r>
    </w:p>
  </w:footnote>
  <w:footnote w:id="21871">
    <w:p>
      <w:pPr>
        <w:pStyle w:val="rFootn"/>
      </w:pPr>
      <w:r>
        <w:rPr>
          <w:rStyle w:val="rFootnRef"/>
        </w:rPr>
        <w:footnoteRef/>
      </w:r>
      <w:r>
        <w:t xml:space="preserve"> Robertson, </w:t>
      </w:r>
      <w:r>
        <w:rPr>
          <w:i/>
        </w:rPr>
        <w:t xml:space="preserve">Grammar</w:t>
      </w:r>
      <w:r>
        <w:t xml:space="preserve">, 630-31.</w:t>
      </w:r>
    </w:p>
  </w:footnote>
  <w:footnote w:id="23165">
    <w:p>
      <w:pPr>
        <w:pStyle w:val="rFootn"/>
      </w:pPr>
      <w:r>
        <w:rPr>
          <w:rStyle w:val="rFootnRef"/>
        </w:rPr>
        <w:footnoteRef/>
      </w:r>
      <w:r>
        <w:t xml:space="preserve"> BDAG, s.v. “ὀφείλώ.”</w:t>
      </w:r>
    </w:p>
  </w:footnote>
  <w:footnote w:id="21399">
    <w:p>
      <w:pPr>
        <w:pStyle w:val="rFootn"/>
      </w:pPr>
      <w:r>
        <w:rPr>
          <w:rStyle w:val="rFootnRef"/>
        </w:rPr>
        <w:footnoteRef/>
      </w:r>
      <w:r>
        <w:t xml:space="preserve"> Cp. John Bengel, </w:t>
      </w:r>
      <w:r>
        <w:rPr>
          <w:i/>
        </w:rPr>
        <w:t xml:space="preserve">Bengel’s New Testament Commentary</w:t>
      </w:r>
      <w:r>
        <w:t xml:space="preserve">.</w:t>
      </w:r>
    </w:p>
  </w:footnote>
  <w:footnote w:id="15943">
    <w:p>
      <w:pPr>
        <w:pStyle w:val="rFootn"/>
      </w:pPr>
      <w:r>
        <w:rPr>
          <w:rStyle w:val="rFootnRef"/>
        </w:rPr>
        <w:footnoteRef/>
      </w:r>
      <w:r>
        <w:t xml:space="preserve"> BDAG, s.v. “πείθω.”</w:t>
      </w:r>
    </w:p>
  </w:footnote>
  <w:footnote w:id="28251">
    <w:p>
      <w:pPr>
        <w:pStyle w:val="rFootn"/>
      </w:pPr>
      <w:r>
        <w:rPr>
          <w:rStyle w:val="rFootnRef"/>
        </w:rPr>
        <w:footnoteRef/>
      </w:r>
      <w:r>
        <w:t xml:space="preserve"> Cp. Wallace, </w:t>
      </w:r>
      <w:r>
        <w:rPr>
          <w:i/>
        </w:rPr>
        <w:t xml:space="preserve">Greek Grammar Beyond the Basics</w:t>
      </w:r>
      <w:r>
        <w:t xml:space="preserve">, 520-22.</w:t>
      </w:r>
    </w:p>
  </w:footnote>
  <w:footnote w:id="12312">
    <w:p>
      <w:pPr>
        <w:pStyle w:val="rFootn"/>
      </w:pPr>
      <w:r>
        <w:rPr>
          <w:rStyle w:val="rFootnRef"/>
        </w:rPr>
        <w:footnoteRef/>
      </w:r>
      <w:r>
        <w:t xml:space="preserve"> Wallace, </w:t>
      </w:r>
      <w:r>
        <w:rPr>
          <w:i/>
        </w:rPr>
        <w:t xml:space="preserve">Greek Grammar</w:t>
      </w:r>
      <w:r>
        <w:t xml:space="preserve">, 521.</w:t>
      </w:r>
    </w:p>
  </w:footnote>
  <w:footnote w:id="12442">
    <w:p>
      <w:pPr>
        <w:pStyle w:val="rFootn"/>
      </w:pPr>
      <w:r>
        <w:rPr>
          <w:rStyle w:val="rFootnRef"/>
        </w:rPr>
        <w:footnoteRef/>
      </w:r>
      <w:r>
        <w:t xml:space="preserve"> Vincent, </w:t>
      </w:r>
      <w:r>
        <w:rPr>
          <w:i/>
        </w:rPr>
        <w:t xml:space="preserve">Word Studies in the New Testamen</w:t>
      </w:r>
      <w:r>
        <w:t xml:space="preserve">t, 50.</w:t>
      </w:r>
    </w:p>
  </w:footnote>
  <w:footnote w:id="17479">
    <w:p>
      <w:pPr>
        <w:pStyle w:val="rFootn"/>
      </w:pPr>
      <w:r>
        <w:rPr>
          <w:rStyle w:val="rFootnRef"/>
        </w:rPr>
        <w:footnoteRef/>
      </w:r>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p>
  </w:footnote>
  <w:footnote w:id="24848">
    <w:p>
      <w:pPr>
        <w:pStyle w:val="rFootn"/>
      </w:pPr>
      <w:r>
        <w:rPr>
          <w:rStyle w:val="rFootnRef"/>
        </w:rPr>
        <w:footnoteRef/>
      </w:r>
      <w:r>
        <w:t xml:space="preserve"> Robertson, </w:t>
      </w:r>
      <w:r>
        <w:rPr>
          <w:i/>
        </w:rPr>
        <w:t xml:space="preserve">Grammar</w:t>
      </w:r>
      <w:r>
        <w:t xml:space="preserve">, 599.</w:t>
      </w:r>
    </w:p>
  </w:footnote>
  <w:footnote w:id="27478">
    <w:p>
      <w:pPr>
        <w:pStyle w:val="rFootn"/>
      </w:pPr>
      <w:r>
        <w:rPr>
          <w:rStyle w:val="rFootnRef"/>
        </w:rPr>
        <w:footnoteRef/>
      </w:r>
      <w:r>
        <w:t xml:space="preserve"> Wuest, </w:t>
      </w:r>
      <w:r>
        <w:rPr>
          <w:i/>
        </w:rPr>
        <w:t xml:space="preserve">Word Studies: 2 Peter, 1,2,3 John, and Jude</w:t>
      </w:r>
      <w:r>
        <w:t xml:space="preserve">, 168.</w:t>
      </w:r>
    </w:p>
  </w:footnote>
  <w:footnote w:id="10162">
    <w:p>
      <w:pPr>
        <w:pStyle w:val="rFootn"/>
      </w:pPr>
      <w:r>
        <w:rPr>
          <w:rStyle w:val="rFootnRef"/>
        </w:rPr>
        <w:footnoteRef/>
      </w:r>
      <w:r>
        <w:t xml:space="preserve"> Cf. Lenski for the italics and sense; cf. also Alford, </w:t>
      </w:r>
      <w:r>
        <w:rPr>
          <w:i/>
        </w:rPr>
        <w:t xml:space="preserve">The Greek Testament</w:t>
      </w:r>
      <w:r>
        <w:t xml:space="preserve">.</w:t>
      </w:r>
    </w:p>
  </w:footnote>
  <w:footnote w:id="28853">
    <w:p>
      <w:pPr>
        <w:pStyle w:val="rFootn"/>
      </w:pPr>
      <w:r>
        <w:rPr>
          <w:rStyle w:val="rFootnRef"/>
        </w:rPr>
        <w:footnoteRef/>
      </w:r>
      <w:r>
        <w:t xml:space="preserve"> </w:t>
      </w:r>
      <w:r>
        <w:rPr>
          <w:i/>
        </w:rPr>
        <w:t xml:space="preserve">Meyer’s Commentary: James, 1-2 Peter, 1-3 John, Jude</w:t>
      </w:r>
      <w:r>
        <w:t xml:space="preserve">, 593.</w:t>
      </w:r>
    </w:p>
  </w:footnote>
  <w:footnote w:id="30884">
    <w:p>
      <w:pPr>
        <w:pStyle w:val="rFootn"/>
      </w:pPr>
      <w:r>
        <w:rPr>
          <w:rStyle w:val="rFootnRef"/>
        </w:rPr>
        <w:footnoteRef/>
      </w:r>
      <w:r>
        <w:t xml:space="preserve"> </w:t>
      </w:r>
      <w:r>
        <w:rPr>
          <w:i/>
        </w:rPr>
        <w:t xml:space="preserve">Vincent’s Word Studies</w:t>
      </w:r>
      <w:r>
        <w:t xml:space="preserve">, 2:361.</w:t>
      </w:r>
    </w:p>
  </w:footnote>
  <w:footnote w:id="15467">
    <w:p>
      <w:pPr>
        <w:pStyle w:val="rFootn"/>
      </w:pPr>
      <w:r>
        <w:rPr>
          <w:rStyle w:val="rFootnRef"/>
        </w:rPr>
        <w:footnoteRef/>
      </w:r>
      <w:r>
        <w:t xml:space="preserve"> Cp.S. Smalley,</w:t>
      </w:r>
      <w:r>
        <w:rPr>
          <w:i/>
        </w:rPr>
        <w:t xml:space="preserve"> 1,2, 3 John</w:t>
      </w:r>
      <w:r>
        <w:t xml:space="preserve"> [WBC].</w:t>
      </w:r>
    </w:p>
  </w:footnote>
  <w:footnote w:id="16170">
    <w:p>
      <w:pPr>
        <w:pStyle w:val="rFootn"/>
      </w:pPr>
      <w:r>
        <w:rPr>
          <w:rStyle w:val="rFootnRef"/>
        </w:rPr>
        <w:footnoteRef/>
      </w:r>
      <w:r>
        <w:t xml:space="preserve"> A. T. Robertson, </w:t>
      </w:r>
      <w:r>
        <w:rPr>
          <w:i/>
        </w:rPr>
        <w:t xml:space="preserve">Word Pictures in the New Testament</w:t>
      </w:r>
      <w:r>
        <w:t xml:space="preserve">, 6:240-241.</w:t>
      </w:r>
    </w:p>
  </w:footnote>
  <w:footnote w:id="28266">
    <w:p>
      <w:pPr>
        <w:pStyle w:val="rFootn"/>
      </w:pPr>
      <w:r>
        <w:rPr>
          <w:rStyle w:val="rFootnRef"/>
        </w:rPr>
        <w:footnoteRef/>
      </w:r>
      <w:r>
        <w:t xml:space="preserve"> F. F. Bruce, </w:t>
      </w:r>
      <w:r>
        <w:rPr>
          <w:i/>
        </w:rPr>
        <w:t xml:space="preserve">The Gospels and the Epistles of John</w:t>
      </w:r>
      <w:r>
        <w:t xml:space="preserve">.</w:t>
      </w:r>
    </w:p>
  </w:footnote>
  <w:footnote w:id="22478">
    <w:p>
      <w:pPr>
        <w:pStyle w:val="rFootn"/>
      </w:pPr>
      <w:r>
        <w:rPr>
          <w:rStyle w:val="rFootnRef"/>
        </w:rPr>
        <w:footnoteRef/>
      </w:r>
      <w:r>
        <w:t xml:space="preserve"> R. C. H. Lenski, </w:t>
      </w:r>
      <w:r>
        <w:rPr>
          <w:i/>
        </w:rPr>
        <w:t xml:space="preserve">Interpretation of the Three Epistles of John</w:t>
      </w:r>
      <w:r>
        <w:t xml:space="preserve">.</w:t>
      </w:r>
    </w:p>
  </w:footnote>
  <w:footnote w:id="23928">
    <w:p>
      <w:pPr>
        <w:pStyle w:val="rFootn"/>
      </w:pPr>
      <w:r>
        <w:rPr>
          <w:rStyle w:val="rFootnRef"/>
        </w:rPr>
        <w:footnoteRef/>
      </w:r>
      <w:r>
        <w:t xml:space="preserve"> Henry Alford, </w:t>
      </w:r>
      <w:r>
        <w:rPr>
          <w:i/>
        </w:rPr>
        <w:t xml:space="preserve">The Greek Testament</w:t>
      </w:r>
      <w:r>
        <w:t xml:space="preserve">, 4:503 (emphasis the author’s).</w:t>
      </w:r>
    </w:p>
  </w:footnote>
  <w:footnote w:id="13960">
    <w:p>
      <w:pPr>
        <w:pStyle w:val="rFootn"/>
      </w:pPr>
      <w:r>
        <w:rPr>
          <w:rStyle w:val="rFootnRef"/>
        </w:rPr>
        <w:footnoteRef/>
      </w:r>
      <w:r>
        <w:t xml:space="preserve"> Cp. Bullinger, </w:t>
      </w:r>
      <w:r>
        <w:rPr>
          <w:i/>
        </w:rPr>
        <w:t xml:space="preserve">Figures of Speech</w:t>
      </w:r>
      <w:r>
        <w:t xml:space="preserve">, 267, “polyptoton.”</w:t>
      </w:r>
    </w:p>
  </w:footnote>
  <w:footnote w:id="21055">
    <w:p>
      <w:pPr>
        <w:pStyle w:val="rFootn"/>
      </w:pPr>
      <w:r>
        <w:rPr>
          <w:rStyle w:val="rFootnRef"/>
        </w:rPr>
        <w:footnoteRef/>
      </w:r>
      <w:r>
        <w:t xml:space="preserve"> See, Robertson, </w:t>
      </w:r>
      <w:r>
        <w:rPr>
          <w:i/>
        </w:rPr>
        <w:t xml:space="preserve">Word Pictures in the New Testament</w:t>
      </w:r>
      <w:r>
        <w:t xml:space="preserve">, 6:244.</w:t>
      </w:r>
    </w:p>
  </w:footnote>
  <w:footnote w:id="27330">
    <w:p>
      <w:pPr>
        <w:pStyle w:val="rFootn"/>
      </w:pPr>
      <w:r>
        <w:rPr>
          <w:rStyle w:val="rFootnRef"/>
        </w:rPr>
        <w:footnoteRef/>
      </w:r>
      <w:r>
        <w:t xml:space="preserve"> Metzger, </w:t>
      </w:r>
      <w:r>
        <w:rPr>
          <w:i/>
        </w:rPr>
        <w:t xml:space="preserve">Textual Commentary</w:t>
      </w:r>
      <w:r>
        <w:t xml:space="preserve">, 4th ed., 718.</w:t>
      </w:r>
    </w:p>
  </w:footnote>
  <w:footnote w:id="23260">
    <w:p>
      <w:pPr>
        <w:pStyle w:val="rFootn"/>
      </w:pPr>
      <w:r>
        <w:rPr>
          <w:rStyle w:val="rFootnRef"/>
        </w:rPr>
        <w:footnoteRef/>
      </w:r>
      <w:r>
        <w:t xml:space="preserve"> Bart Ehrman, </w:t>
      </w:r>
      <w:r>
        <w:rPr>
          <w:i/>
        </w:rPr>
        <w:t xml:space="preserve">The Orthodox Corruption of Scripture</w:t>
      </w:r>
      <w:r>
        <w:t xml:space="preserve">, 71.</w:t>
      </w:r>
    </w:p>
  </w:footnote>
  <w:footnote w:id="26269">
    <w:p>
      <w:pPr>
        <w:pStyle w:val="rFootn"/>
      </w:pPr>
      <w:r>
        <w:rPr>
          <w:rStyle w:val="rFootnRef"/>
        </w:rPr>
        <w:footnoteRef/>
      </w:r>
      <w:r>
        <w:t xml:space="preserve"> Bullinger, </w:t>
      </w:r>
      <w:r>
        <w:rPr>
          <w:i/>
        </w:rPr>
        <w:t xml:space="preserve">Figures of Speech</w:t>
      </w:r>
      <w:r>
        <w:t xml:space="preserve">, 159, “tapeinosis.”</w:t>
      </w:r>
    </w:p>
  </w:footnote>
  <w:footnote w:id="28448">
    <w:p>
      <w:pPr>
        <w:pStyle w:val="rFootn"/>
      </w:pPr>
      <w:r>
        <w:rPr>
          <w:rStyle w:val="rFootnRef"/>
        </w:rPr>
        <w:footnoteRef/>
      </w:r>
      <w:r>
        <w:t xml:space="preserve"> Lenski, </w:t>
      </w:r>
      <w:r>
        <w:rPr>
          <w:i/>
        </w:rPr>
        <w:t xml:space="preserve">The Three Epistles of John</w:t>
      </w:r>
      <w:r>
        <w:t xml:space="preserve">, 541.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211365">
    <w:multiLevelType w:val="hybridMultilevel"/>
    <w:lvl w:ilvl="0" w:tplc="23872945">
      <w:start w:val="1"/>
      <w:numFmt w:val="decimal"/>
      <w:lvlText w:val="%1."/>
      <w:lvlJc w:val="left"/>
      <w:pPr>
        <w:ind w:left="720" w:hanging="360"/>
      </w:pPr>
    </w:lvl>
    <w:lvl w:ilvl="1" w:tplc="23872945" w:tentative="1">
      <w:start w:val="1"/>
      <w:numFmt w:val="lowerLetter"/>
      <w:lvlText w:val="%2."/>
      <w:lvlJc w:val="left"/>
      <w:pPr>
        <w:ind w:left="1440" w:hanging="360"/>
      </w:pPr>
    </w:lvl>
    <w:lvl w:ilvl="2" w:tplc="23872945" w:tentative="1">
      <w:start w:val="1"/>
      <w:numFmt w:val="lowerRoman"/>
      <w:lvlText w:val="%3."/>
      <w:lvlJc w:val="right"/>
      <w:pPr>
        <w:ind w:left="2160" w:hanging="180"/>
      </w:pPr>
    </w:lvl>
    <w:lvl w:ilvl="3" w:tplc="23872945" w:tentative="1">
      <w:start w:val="1"/>
      <w:numFmt w:val="decimal"/>
      <w:lvlText w:val="%4."/>
      <w:lvlJc w:val="left"/>
      <w:pPr>
        <w:ind w:left="2880" w:hanging="360"/>
      </w:pPr>
    </w:lvl>
    <w:lvl w:ilvl="4" w:tplc="23872945" w:tentative="1">
      <w:start w:val="1"/>
      <w:numFmt w:val="lowerLetter"/>
      <w:lvlText w:val="%5."/>
      <w:lvlJc w:val="left"/>
      <w:pPr>
        <w:ind w:left="3600" w:hanging="360"/>
      </w:pPr>
    </w:lvl>
    <w:lvl w:ilvl="5" w:tplc="23872945" w:tentative="1">
      <w:start w:val="1"/>
      <w:numFmt w:val="lowerRoman"/>
      <w:lvlText w:val="%6."/>
      <w:lvlJc w:val="right"/>
      <w:pPr>
        <w:ind w:left="4320" w:hanging="180"/>
      </w:pPr>
    </w:lvl>
    <w:lvl w:ilvl="6" w:tplc="23872945" w:tentative="1">
      <w:start w:val="1"/>
      <w:numFmt w:val="decimal"/>
      <w:lvlText w:val="%7."/>
      <w:lvlJc w:val="left"/>
      <w:pPr>
        <w:ind w:left="5040" w:hanging="360"/>
      </w:pPr>
    </w:lvl>
    <w:lvl w:ilvl="7" w:tplc="23872945" w:tentative="1">
      <w:start w:val="1"/>
      <w:numFmt w:val="lowerLetter"/>
      <w:lvlText w:val="%8."/>
      <w:lvlJc w:val="left"/>
      <w:pPr>
        <w:ind w:left="5760" w:hanging="360"/>
      </w:pPr>
    </w:lvl>
    <w:lvl w:ilvl="8" w:tplc="23872945" w:tentative="1">
      <w:start w:val="1"/>
      <w:numFmt w:val="lowerRoman"/>
      <w:lvlText w:val="%9."/>
      <w:lvlJc w:val="right"/>
      <w:pPr>
        <w:ind w:left="6480" w:hanging="180"/>
      </w:pPr>
    </w:lvl>
  </w:abstractNum>
  <w:abstractNum w:abstractNumId="32157">
    <w:multiLevelType w:val="hybridMultilevel"/>
    <w:lvl w:ilvl="0" w:tplc="211967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157">
    <w:abstractNumId w:val="32157"/>
  </w:num>
  <w:num w:numId="57211365">
    <w:abstractNumId w:val="572113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8846353" Type="http://schemas.openxmlformats.org/officeDocument/2006/relationships/numbering" Target="numbering.xml"/><Relationship Id="rId461154890" Type="http://schemas.openxmlformats.org/officeDocument/2006/relationships/comments" Target="comments.xml"/><Relationship Id="rId675367a8aba3d11b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